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34B95" w14:textId="5FCF81C9" w:rsidR="007262A9" w:rsidRPr="000254C0" w:rsidRDefault="000254C0" w:rsidP="006B5877">
      <w:pPr>
        <w:jc w:val="center"/>
        <w:rPr>
          <w:b/>
          <w:sz w:val="36"/>
        </w:rPr>
      </w:pPr>
      <w:r w:rsidRPr="000254C0">
        <w:rPr>
          <w:b/>
          <w:noProof/>
          <w:sz w:val="36"/>
          <w:lang w:eastAsia="de-DE"/>
        </w:rPr>
        <w:drawing>
          <wp:anchor distT="0" distB="0" distL="114300" distR="114300" simplePos="0" relativeHeight="251658240" behindDoc="1" locked="0" layoutInCell="1" allowOverlap="1" wp14:anchorId="206D94B1" wp14:editId="2BAAC3C5">
            <wp:simplePos x="0" y="0"/>
            <wp:positionH relativeFrom="margin">
              <wp:align>center</wp:align>
            </wp:positionH>
            <wp:positionV relativeFrom="page">
              <wp:posOffset>441434</wp:posOffset>
            </wp:positionV>
            <wp:extent cx="5716270" cy="1461770"/>
            <wp:effectExtent l="0" t="0" r="0" b="5080"/>
            <wp:wrapTight wrapText="bothSides">
              <wp:wrapPolygon edited="0">
                <wp:start x="0" y="0"/>
                <wp:lineTo x="0" y="21394"/>
                <wp:lineTo x="21523" y="21394"/>
                <wp:lineTo x="21523" y="0"/>
                <wp:lineTo x="0" y="0"/>
              </wp:wrapPolygon>
            </wp:wrapTight>
            <wp:docPr id="1" name="Grafik 1"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6270" cy="1461770"/>
                    </a:xfrm>
                    <a:prstGeom prst="rect">
                      <a:avLst/>
                    </a:prstGeom>
                    <a:noFill/>
                    <a:ln>
                      <a:noFill/>
                    </a:ln>
                  </pic:spPr>
                </pic:pic>
              </a:graphicData>
            </a:graphic>
          </wp:anchor>
        </w:drawing>
      </w:r>
      <w:r w:rsidR="008A7C38" w:rsidRPr="000254C0">
        <w:rPr>
          <w:b/>
          <w:sz w:val="36"/>
        </w:rPr>
        <w:t>Naherwartung</w:t>
      </w:r>
      <w:r w:rsidR="007262A9" w:rsidRPr="000254C0">
        <w:rPr>
          <w:b/>
          <w:sz w:val="36"/>
        </w:rPr>
        <w:t xml:space="preserve"> im Neuen Testament</w:t>
      </w:r>
    </w:p>
    <w:p w14:paraId="02779EF3" w14:textId="77777777" w:rsidR="00502923" w:rsidRPr="000254C0" w:rsidRDefault="007262A9" w:rsidP="007262A9">
      <w:pPr>
        <w:jc w:val="center"/>
        <w:rPr>
          <w:sz w:val="24"/>
        </w:rPr>
      </w:pPr>
      <w:r w:rsidRPr="000254C0">
        <w:rPr>
          <w:b/>
          <w:sz w:val="24"/>
        </w:rPr>
        <w:t>Hat sich Jesus im Datum seiner Wiederkunft getäuscht?</w:t>
      </w:r>
    </w:p>
    <w:p w14:paraId="421981A8" w14:textId="77777777" w:rsidR="008A7C38" w:rsidRDefault="008A7C38" w:rsidP="00B95EA3"/>
    <w:p w14:paraId="678FD868" w14:textId="75561424" w:rsidR="007262A9" w:rsidRDefault="00303EF5" w:rsidP="00B95EA3">
      <w:pPr>
        <w:rPr>
          <w:i/>
        </w:rPr>
      </w:pPr>
      <w:r>
        <w:rPr>
          <w:i/>
        </w:rPr>
        <w:t xml:space="preserve">Die Kirche </w:t>
      </w:r>
      <w:r w:rsidR="00C40520">
        <w:rPr>
          <w:i/>
        </w:rPr>
        <w:t>glaubt, dass</w:t>
      </w:r>
      <w:r>
        <w:rPr>
          <w:i/>
        </w:rPr>
        <w:t xml:space="preserve"> Jesus Gott</w:t>
      </w:r>
      <w:r w:rsidR="00C40520">
        <w:rPr>
          <w:i/>
        </w:rPr>
        <w:t xml:space="preserve"> ist</w:t>
      </w:r>
      <w:r>
        <w:rPr>
          <w:i/>
        </w:rPr>
        <w:t xml:space="preserve">. Aber im Evangelium kündigt Jesus </w:t>
      </w:r>
      <w:r w:rsidR="0034647C">
        <w:rPr>
          <w:i/>
        </w:rPr>
        <w:t>den</w:t>
      </w:r>
      <w:r>
        <w:rPr>
          <w:i/>
        </w:rPr>
        <w:t xml:space="preserve"> Jüngern an vielen Stelle</w:t>
      </w:r>
      <w:r w:rsidR="00320C11">
        <w:rPr>
          <w:i/>
        </w:rPr>
        <w:t>n seine baldige Wiederkunft an,</w:t>
      </w:r>
      <w:r>
        <w:rPr>
          <w:i/>
        </w:rPr>
        <w:t xml:space="preserve"> die bis zum heutigen Tag noch nicht eingetroffen ist. Es sieht so aus, als hätte sich Jesus in diesem Punkt gründlich getäuscht. </w:t>
      </w:r>
      <w:r w:rsidR="00D177BA">
        <w:rPr>
          <w:i/>
        </w:rPr>
        <w:t>D</w:t>
      </w:r>
      <w:r>
        <w:rPr>
          <w:i/>
        </w:rPr>
        <w:t xml:space="preserve">ann wäre er </w:t>
      </w:r>
      <w:r w:rsidR="00D177BA">
        <w:rPr>
          <w:i/>
        </w:rPr>
        <w:t xml:space="preserve">also </w:t>
      </w:r>
      <w:r>
        <w:rPr>
          <w:i/>
        </w:rPr>
        <w:t>doch nicht Gott!?</w:t>
      </w:r>
    </w:p>
    <w:p w14:paraId="146DFE7A" w14:textId="77777777" w:rsidR="00303EF5" w:rsidRDefault="00303EF5" w:rsidP="00B95EA3"/>
    <w:p w14:paraId="5AC848FD" w14:textId="77777777" w:rsidR="00C40520" w:rsidRPr="00C40520" w:rsidRDefault="00C40520" w:rsidP="00C40520">
      <w:pPr>
        <w:pStyle w:val="berschrift1"/>
      </w:pPr>
      <w:r>
        <w:t>Sichtung der relevanten Text</w:t>
      </w:r>
      <w:r w:rsidR="00320C11">
        <w:t>e</w:t>
      </w:r>
      <w:r>
        <w:t xml:space="preserve"> in den Evangelien</w:t>
      </w:r>
    </w:p>
    <w:p w14:paraId="50A4F45E" w14:textId="1D898C96" w:rsidR="008A7C38" w:rsidRDefault="00320C11" w:rsidP="00B95EA3">
      <w:r>
        <w:t xml:space="preserve">Im </w:t>
      </w:r>
      <w:r w:rsidR="00C40520">
        <w:t>N</w:t>
      </w:r>
      <w:r w:rsidR="006C0967">
        <w:t xml:space="preserve">euen </w:t>
      </w:r>
      <w:r w:rsidR="00C40520">
        <w:t>T</w:t>
      </w:r>
      <w:r w:rsidR="006C0967">
        <w:t>estament</w:t>
      </w:r>
      <w:r w:rsidR="00C40520">
        <w:t xml:space="preserve"> </w:t>
      </w:r>
      <w:r>
        <w:t xml:space="preserve">gibt es </w:t>
      </w:r>
      <w:r w:rsidR="00D177BA">
        <w:t>einige</w:t>
      </w:r>
      <w:r w:rsidR="00C40520">
        <w:t xml:space="preserve"> Stellen, die den Eindruck erwecken, als </w:t>
      </w:r>
      <w:r w:rsidR="006C0967">
        <w:t>verheiße</w:t>
      </w:r>
      <w:r w:rsidR="00C40520">
        <w:t xml:space="preserve"> Jesus </w:t>
      </w:r>
      <w:r w:rsidR="00D177BA">
        <w:t>seine baldige Wiederkunft</w:t>
      </w:r>
      <w:r w:rsidR="00C40520">
        <w:t xml:space="preserve">. </w:t>
      </w:r>
      <w:r>
        <w:t>Besonders deutlich wird das Thema</w:t>
      </w:r>
      <w:r w:rsidR="00063124">
        <w:t xml:space="preserve"> an folgenden drei Stellen: </w:t>
      </w:r>
    </w:p>
    <w:p w14:paraId="633F878C" w14:textId="77777777" w:rsidR="00AF62D4" w:rsidRDefault="00AF62D4" w:rsidP="00B95EA3"/>
    <w:p w14:paraId="173FF80E" w14:textId="77777777" w:rsidR="00063124" w:rsidRDefault="00D177BA" w:rsidP="00063124">
      <w:pPr>
        <w:pStyle w:val="Listenabsatz"/>
        <w:numPr>
          <w:ilvl w:val="0"/>
          <w:numId w:val="15"/>
        </w:numPr>
        <w:ind w:left="360"/>
      </w:pPr>
      <w:r>
        <w:t xml:space="preserve">Jesus schließt seine </w:t>
      </w:r>
      <w:r w:rsidR="00063124">
        <w:t xml:space="preserve">Endzeitrede, in der </w:t>
      </w:r>
      <w:r>
        <w:t>er</w:t>
      </w:r>
      <w:r w:rsidR="00063124">
        <w:t xml:space="preserve"> ausführlich die Anzeichen für das Ende der Welt beschreibt, mit folgenden Worten ab: „A</w:t>
      </w:r>
      <w:r w:rsidR="00063124" w:rsidRPr="00FF3C8E">
        <w:t>men, ich sage euch: Diese Generation wird nicht ve</w:t>
      </w:r>
      <w:r w:rsidR="00063124">
        <w:t>rgehen, bis das alles eintrifft“ (</w:t>
      </w:r>
      <w:proofErr w:type="spellStart"/>
      <w:r w:rsidR="00063124">
        <w:t>Mk</w:t>
      </w:r>
      <w:proofErr w:type="spellEnd"/>
      <w:r w:rsidR="00063124">
        <w:t xml:space="preserve"> 13,30). </w:t>
      </w:r>
    </w:p>
    <w:p w14:paraId="0C1BDDAC" w14:textId="77777777" w:rsidR="00AF62D4" w:rsidRDefault="00AF62D4" w:rsidP="00AF62D4">
      <w:pPr>
        <w:pStyle w:val="Listenabsatz"/>
        <w:ind w:left="360"/>
      </w:pPr>
    </w:p>
    <w:p w14:paraId="2413C5E2" w14:textId="77777777" w:rsidR="00AF62D4" w:rsidRDefault="00AF62D4" w:rsidP="00AF62D4">
      <w:pPr>
        <w:pStyle w:val="Listenabsatz"/>
        <w:numPr>
          <w:ilvl w:val="0"/>
          <w:numId w:val="15"/>
        </w:numPr>
        <w:ind w:left="360"/>
      </w:pPr>
      <w:r>
        <w:t>In der Aussendungsrede kündigt Jesus seinen Aposteln an: „</w:t>
      </w:r>
      <w:r w:rsidRPr="00FF3C8E">
        <w:t>Wenn man euch in der einen Stadt verfolgt, so flieht in eine andere. Amen, ich sage euch: Ihr werdet nicht zu Ende kommen mit den Städten Isra</w:t>
      </w:r>
      <w:r>
        <w:t>els, bis der Menschensohn kommt“ (</w:t>
      </w:r>
      <w:proofErr w:type="spellStart"/>
      <w:r>
        <w:t>Mt</w:t>
      </w:r>
      <w:proofErr w:type="spellEnd"/>
      <w:r>
        <w:t xml:space="preserve"> 10,</w:t>
      </w:r>
      <w:r w:rsidRPr="00FF3C8E">
        <w:t>23</w:t>
      </w:r>
      <w:r>
        <w:t>).</w:t>
      </w:r>
    </w:p>
    <w:p w14:paraId="259B43FF" w14:textId="77777777" w:rsidR="00AF62D4" w:rsidRDefault="00AF62D4" w:rsidP="00AF62D4"/>
    <w:p w14:paraId="508C5FC2" w14:textId="77777777" w:rsidR="00FF3C8E" w:rsidRDefault="00C40520" w:rsidP="00B95EA3">
      <w:pPr>
        <w:pStyle w:val="Listenabsatz"/>
        <w:numPr>
          <w:ilvl w:val="0"/>
          <w:numId w:val="15"/>
        </w:numPr>
        <w:ind w:left="360"/>
      </w:pPr>
      <w:r>
        <w:t xml:space="preserve">Kurz vor </w:t>
      </w:r>
      <w:r w:rsidR="00D177BA">
        <w:t>der</w:t>
      </w:r>
      <w:r>
        <w:t xml:space="preserve"> Verklärung auf dem Berge Tabor erklärt Jesus seinen Jüngern:</w:t>
      </w:r>
      <w:r w:rsidR="00FF3C8E">
        <w:t xml:space="preserve"> „Amen, ich sage euch: Von denen, die hier stehen, werden einige den Tod nicht erleiden, bis sie gesehen haben, dass das Reic</w:t>
      </w:r>
      <w:r>
        <w:t>h Gottes in Macht gekommen ist“ (</w:t>
      </w:r>
      <w:proofErr w:type="spellStart"/>
      <w:r>
        <w:t>Mk</w:t>
      </w:r>
      <w:proofErr w:type="spellEnd"/>
      <w:r>
        <w:t xml:space="preserve"> 9,1).</w:t>
      </w:r>
    </w:p>
    <w:p w14:paraId="34427250" w14:textId="77777777" w:rsidR="00AF62D4" w:rsidRDefault="00AF62D4" w:rsidP="00B95EA3"/>
    <w:p w14:paraId="742842EC" w14:textId="4C1ADB83" w:rsidR="00063124" w:rsidRDefault="00063124" w:rsidP="00B95EA3">
      <w:r>
        <w:t xml:space="preserve">Alle drei Stellen scheinen </w:t>
      </w:r>
      <w:r w:rsidR="006F051F">
        <w:t>anzudeuten</w:t>
      </w:r>
      <w:r>
        <w:t>, dass Jesus mit einem baldigen Ende der Welt und seiner</w:t>
      </w:r>
      <w:r w:rsidR="00320C11">
        <w:t xml:space="preserve"> nahen</w:t>
      </w:r>
      <w:r>
        <w:t xml:space="preserve"> Wiederkunft gerechnet hat.</w:t>
      </w:r>
    </w:p>
    <w:p w14:paraId="479C4C19" w14:textId="77777777" w:rsidR="00063124" w:rsidRDefault="00063124" w:rsidP="00B95EA3"/>
    <w:p w14:paraId="5220385E" w14:textId="77777777" w:rsidR="00FF3C8E" w:rsidRDefault="00063124" w:rsidP="00063124">
      <w:pPr>
        <w:pStyle w:val="berschrift1"/>
      </w:pPr>
      <w:r>
        <w:t xml:space="preserve">Eine gegenläufige </w:t>
      </w:r>
      <w:r w:rsidR="00320C11">
        <w:t>Linie</w:t>
      </w:r>
    </w:p>
    <w:p w14:paraId="391F4D75" w14:textId="436C5E90" w:rsidR="00063124" w:rsidRDefault="00063124" w:rsidP="00063124">
      <w:r>
        <w:t xml:space="preserve">Wer die Evangelien </w:t>
      </w:r>
      <w:r w:rsidR="006F051F">
        <w:t xml:space="preserve">jedoch </w:t>
      </w:r>
      <w:r>
        <w:t xml:space="preserve">sorgfältig liest, wird schnell eine gegenläufige </w:t>
      </w:r>
      <w:r w:rsidR="00D177BA">
        <w:t>Linie</w:t>
      </w:r>
      <w:r>
        <w:t xml:space="preserve"> entdecken – oft in unmittelbarer Nähe </w:t>
      </w:r>
      <w:r w:rsidR="00D177BA">
        <w:t xml:space="preserve">zu den </w:t>
      </w:r>
      <w:r w:rsidR="00320C11">
        <w:t>zitierten</w:t>
      </w:r>
      <w:r>
        <w:t xml:space="preserve"> „Naherwartungstexte</w:t>
      </w:r>
      <w:r w:rsidR="00D177BA">
        <w:t>n</w:t>
      </w:r>
      <w:r>
        <w:t xml:space="preserve">“. </w:t>
      </w:r>
    </w:p>
    <w:p w14:paraId="00EB5D25" w14:textId="77777777" w:rsidR="00AF62D4" w:rsidRDefault="00AF62D4" w:rsidP="00063124"/>
    <w:p w14:paraId="60610D89" w14:textId="74E6A0EA" w:rsidR="00063124" w:rsidRDefault="00063124" w:rsidP="00A95FFF">
      <w:pPr>
        <w:pStyle w:val="Listenabsatz"/>
        <w:numPr>
          <w:ilvl w:val="0"/>
          <w:numId w:val="16"/>
        </w:numPr>
        <w:ind w:left="360"/>
      </w:pPr>
      <w:r>
        <w:t xml:space="preserve">Zwar erklärt Jesus in </w:t>
      </w:r>
      <w:r w:rsidR="00D177BA">
        <w:t>der Endzeitrede</w:t>
      </w:r>
      <w:r>
        <w:t xml:space="preserve">, </w:t>
      </w:r>
      <w:r w:rsidR="00320C11">
        <w:t xml:space="preserve">all die genannten Prophetien würden noch in </w:t>
      </w:r>
      <w:r>
        <w:t>diese</w:t>
      </w:r>
      <w:r w:rsidR="00320C11">
        <w:t>r</w:t>
      </w:r>
      <w:r>
        <w:t xml:space="preserve"> Generation </w:t>
      </w:r>
      <w:r w:rsidR="00320C11">
        <w:t>eintreffen</w:t>
      </w:r>
      <w:r w:rsidR="00D177BA">
        <w:t xml:space="preserve"> (</w:t>
      </w:r>
      <w:proofErr w:type="spellStart"/>
      <w:r w:rsidR="00D177BA">
        <w:t>Mk</w:t>
      </w:r>
      <w:proofErr w:type="spellEnd"/>
      <w:r w:rsidR="00D177BA">
        <w:t xml:space="preserve"> 13,30)</w:t>
      </w:r>
      <w:r>
        <w:t>, doch bereits zwei Verse später heißt es: „Doch jenen Tag und jene Stunde kennt niemand, auch nicht die Engel im Himmel, nicht einmal der Sohn, sondern nur der Vater. Seht euch also vor und bleibt wach! Denn ihr wisst nicht, wann die Zeit da ist“ (</w:t>
      </w:r>
      <w:proofErr w:type="spellStart"/>
      <w:r>
        <w:t>Mk</w:t>
      </w:r>
      <w:proofErr w:type="spellEnd"/>
      <w:r>
        <w:t xml:space="preserve"> 13,32f). Jesus betont ausdrücklich, </w:t>
      </w:r>
      <w:r w:rsidR="006F051F">
        <w:t xml:space="preserve">nicht einmal </w:t>
      </w:r>
      <w:r>
        <w:t xml:space="preserve">er selber kenne als (menschlicher) Sohn </w:t>
      </w:r>
      <w:r w:rsidR="00D177BA">
        <w:t>den</w:t>
      </w:r>
      <w:r>
        <w:t xml:space="preserve"> Zeit</w:t>
      </w:r>
      <w:r w:rsidR="00D177BA">
        <w:t>punkt</w:t>
      </w:r>
      <w:r w:rsidR="00320C11">
        <w:t xml:space="preserve"> seiner Wiederkunft.</w:t>
      </w:r>
      <w:r>
        <w:t xml:space="preserve"> Nimmt man diesen Vers ernst, dann </w:t>
      </w:r>
      <w:r w:rsidR="00320C11">
        <w:t>kann</w:t>
      </w:r>
      <w:r>
        <w:t xml:space="preserve"> </w:t>
      </w:r>
      <w:r w:rsidR="00320C11">
        <w:t>sich der</w:t>
      </w:r>
      <w:r>
        <w:t xml:space="preserve"> vorige </w:t>
      </w:r>
      <w:r w:rsidR="00320C11">
        <w:t>Satz</w:t>
      </w:r>
      <w:r>
        <w:t xml:space="preserve"> „diese Generation wird nicht vergehen bis</w:t>
      </w:r>
      <w:r w:rsidR="006C0967">
        <w:t xml:space="preserve"> </w:t>
      </w:r>
      <w:r>
        <w:t xml:space="preserve">…“ nicht </w:t>
      </w:r>
      <w:r w:rsidR="00320C11">
        <w:t xml:space="preserve">auf eine </w:t>
      </w:r>
      <w:r>
        <w:t xml:space="preserve">zeitliche </w:t>
      </w:r>
      <w:r w:rsidR="00320C11">
        <w:t>„</w:t>
      </w:r>
      <w:r>
        <w:t>Generation</w:t>
      </w:r>
      <w:r w:rsidR="00320C11">
        <w:t>“</w:t>
      </w:r>
      <w:r>
        <w:t xml:space="preserve"> </w:t>
      </w:r>
      <w:r w:rsidR="00320C11">
        <w:t>beziehen</w:t>
      </w:r>
      <w:r>
        <w:t xml:space="preserve">, denn </w:t>
      </w:r>
      <w:r w:rsidR="00D177BA">
        <w:t xml:space="preserve">für diese Aussage müsste der Sohn das genaue Datum </w:t>
      </w:r>
      <w:r>
        <w:t>kennen.</w:t>
      </w:r>
      <w:r w:rsidR="006D4539">
        <w:t xml:space="preserve"> </w:t>
      </w:r>
      <w:r>
        <w:t xml:space="preserve">Das griechische Wort </w:t>
      </w:r>
      <w:proofErr w:type="spellStart"/>
      <w:r w:rsidR="006F051F">
        <w:rPr>
          <w:i/>
        </w:rPr>
        <w:t>genea</w:t>
      </w:r>
      <w:proofErr w:type="spellEnd"/>
      <w:r w:rsidR="006F051F">
        <w:rPr>
          <w:i/>
        </w:rPr>
        <w:t xml:space="preserve"> </w:t>
      </w:r>
      <w:r w:rsidR="006F051F" w:rsidRPr="006F051F">
        <w:t>(</w:t>
      </w:r>
      <w:r w:rsidRPr="00320C11">
        <w:rPr>
          <w:rFonts w:ascii="Greek" w:hAnsi="Greek"/>
        </w:rPr>
        <w:t></w:t>
      </w:r>
      <w:r w:rsidRPr="00320C11">
        <w:rPr>
          <w:rFonts w:ascii="Greek" w:hAnsi="Greek"/>
        </w:rPr>
        <w:t></w:t>
      </w:r>
      <w:r w:rsidRPr="00320C11">
        <w:rPr>
          <w:rFonts w:ascii="Greek" w:hAnsi="Greek"/>
        </w:rPr>
        <w:t></w:t>
      </w:r>
      <w:r w:rsidRPr="00320C11">
        <w:rPr>
          <w:rFonts w:ascii="Greek" w:hAnsi="Greek"/>
        </w:rPr>
        <w:t></w:t>
      </w:r>
      <w:r w:rsidRPr="00320C11">
        <w:rPr>
          <w:rFonts w:ascii="Greek" w:hAnsi="Greek"/>
        </w:rPr>
        <w:t></w:t>
      </w:r>
      <w:r>
        <w:t xml:space="preserve">) kann hier </w:t>
      </w:r>
      <w:r w:rsidR="00320C11">
        <w:t xml:space="preserve">also </w:t>
      </w:r>
      <w:r>
        <w:t xml:space="preserve">nur im Sinn von „Geschlecht“ bzw. „Volk“ gemeint sein: Dieses Volk – nämlich die Juden – werden nicht vergehen, </w:t>
      </w:r>
      <w:r w:rsidR="006C0967">
        <w:t>bis</w:t>
      </w:r>
      <w:r>
        <w:t xml:space="preserve"> dies alles geschehen ist.</w:t>
      </w:r>
      <w:r w:rsidR="00320C11">
        <w:t xml:space="preserve"> Damit ist der Satz </w:t>
      </w:r>
      <w:r w:rsidR="006F051F">
        <w:t xml:space="preserve">aber </w:t>
      </w:r>
      <w:r w:rsidR="00320C11">
        <w:t>keine Aussage zur Naherwartung mehr.</w:t>
      </w:r>
    </w:p>
    <w:p w14:paraId="06512A59" w14:textId="77777777" w:rsidR="00063124" w:rsidRDefault="00063124" w:rsidP="00B95EA3"/>
    <w:p w14:paraId="72D254A6" w14:textId="3F87E81E" w:rsidR="006D4539" w:rsidRDefault="00AF62D4" w:rsidP="003B1345">
      <w:pPr>
        <w:pStyle w:val="Listenabsatz"/>
        <w:numPr>
          <w:ilvl w:val="0"/>
          <w:numId w:val="16"/>
        </w:numPr>
        <w:ind w:left="360"/>
      </w:pPr>
      <w:r>
        <w:t xml:space="preserve">Etwas Ähnliches gilt für die Aussage Jesu, seine Jünger kämen bei der Verkündigung des Evangeliums in den „Städten Israels“ nicht ans Ende, bis er wiederkommt. Hat Jesus damit die Predigt der Apostel in den Städten </w:t>
      </w:r>
      <w:r w:rsidR="00D177BA">
        <w:t xml:space="preserve">des geographischen </w:t>
      </w:r>
      <w:r>
        <w:t xml:space="preserve">Israels gemeint? Unmöglich. Denn an mehreren anderen Stellen betont Jesus </w:t>
      </w:r>
      <w:r w:rsidR="00D177BA">
        <w:t>das</w:t>
      </w:r>
      <w:r>
        <w:t xml:space="preserve"> </w:t>
      </w:r>
      <w:r w:rsidR="00320C11">
        <w:t xml:space="preserve">genaue </w:t>
      </w:r>
      <w:r>
        <w:t xml:space="preserve">Gegenteil, </w:t>
      </w:r>
      <w:r w:rsidR="00D177BA">
        <w:t xml:space="preserve">nämlich </w:t>
      </w:r>
      <w:r>
        <w:t xml:space="preserve">er würde erst dann wiederkommen, wenn </w:t>
      </w:r>
      <w:r>
        <w:lastRenderedPageBreak/>
        <w:t xml:space="preserve">das Evangelium </w:t>
      </w:r>
      <w:r w:rsidR="00D177BA">
        <w:t xml:space="preserve">nicht nur in Israel, sondern </w:t>
      </w:r>
      <w:r w:rsidR="006C0967">
        <w:t xml:space="preserve">in </w:t>
      </w:r>
      <w:r>
        <w:t>der ganzen Welt und allen Völkern verkündet sei</w:t>
      </w:r>
      <w:r w:rsidR="00D177BA">
        <w:t>:</w:t>
      </w:r>
      <w:r>
        <w:t xml:space="preserve"> „</w:t>
      </w:r>
      <w:r w:rsidRPr="00F34D42">
        <w:t xml:space="preserve">Aber dieses Evangelium vom Reich wird auf der ganzen Welt verkündet werden, damit alle Völker es </w:t>
      </w:r>
      <w:r>
        <w:t>hören; dann erst kommt das Ende“ (</w:t>
      </w:r>
      <w:proofErr w:type="spellStart"/>
      <w:r>
        <w:t>Mt</w:t>
      </w:r>
      <w:proofErr w:type="spellEnd"/>
      <w:r>
        <w:t xml:space="preserve"> 24,14). „</w:t>
      </w:r>
      <w:r w:rsidRPr="00D2184F">
        <w:t xml:space="preserve">Vor dem Ende aber muss allen Völkern </w:t>
      </w:r>
      <w:r>
        <w:t>das Evangelium verkündet werden“ (</w:t>
      </w:r>
      <w:proofErr w:type="spellStart"/>
      <w:r>
        <w:t>Mk</w:t>
      </w:r>
      <w:proofErr w:type="spellEnd"/>
      <w:r>
        <w:t xml:space="preserve"> 13,10). Und kurz vor der Himmelfahrt noch einmal: „</w:t>
      </w:r>
      <w:r w:rsidRPr="00F34D42">
        <w:t xml:space="preserve">Darum geht zu allen Völkern und macht </w:t>
      </w:r>
      <w:r w:rsidR="00D02F21">
        <w:t>alle Menschen zu meinen Jüngern</w:t>
      </w:r>
      <w:r>
        <w:t>“ (</w:t>
      </w:r>
      <w:proofErr w:type="spellStart"/>
      <w:r>
        <w:t>Mt</w:t>
      </w:r>
      <w:proofErr w:type="spellEnd"/>
      <w:r>
        <w:t xml:space="preserve"> 28,19). </w:t>
      </w:r>
      <w:r w:rsidR="00320C11">
        <w:t>Die</w:t>
      </w:r>
      <w:r>
        <w:t xml:space="preserve"> Prophetie, </w:t>
      </w:r>
      <w:r w:rsidR="00B5314B">
        <w:t xml:space="preserve">dass </w:t>
      </w:r>
      <w:r>
        <w:t>vor seiner Wiederkunft allen Völker</w:t>
      </w:r>
      <w:r w:rsidR="006D4539">
        <w:t>n</w:t>
      </w:r>
      <w:r>
        <w:t xml:space="preserve"> der Welt das Evangelium verkündet</w:t>
      </w:r>
      <w:r w:rsidR="00B5314B" w:rsidRPr="00B5314B">
        <w:t xml:space="preserve"> </w:t>
      </w:r>
      <w:r w:rsidR="00B5314B">
        <w:t>werde</w:t>
      </w:r>
      <w:r>
        <w:t xml:space="preserve">, schließt aus, dass Jesus seine Wiederkunft in unmittelbarer zeitlicher Nähe </w:t>
      </w:r>
      <w:r w:rsidR="00320C11">
        <w:t>gesehen hat</w:t>
      </w:r>
      <w:r>
        <w:t>.</w:t>
      </w:r>
      <w:r w:rsidR="0054121F">
        <w:t xml:space="preserve"> Der Ausdruck</w:t>
      </w:r>
      <w:r w:rsidR="00320C11">
        <w:t xml:space="preserve"> „Städte Israels“</w:t>
      </w:r>
      <w:r w:rsidR="0054121F">
        <w:t xml:space="preserve"> kann darum</w:t>
      </w:r>
      <w:r w:rsidR="00320C11">
        <w:t xml:space="preserve"> </w:t>
      </w:r>
      <w:r w:rsidR="006D4539">
        <w:t>nicht geographische Orte im Heiligen Land</w:t>
      </w:r>
      <w:r w:rsidR="00320C11">
        <w:t xml:space="preserve"> </w:t>
      </w:r>
      <w:r w:rsidR="0054121F">
        <w:t>meinen</w:t>
      </w:r>
      <w:r w:rsidR="006D4539">
        <w:t xml:space="preserve">, sondern </w:t>
      </w:r>
      <w:r w:rsidR="0054121F">
        <w:t xml:space="preserve">steht für </w:t>
      </w:r>
      <w:r w:rsidR="00B5474B">
        <w:t xml:space="preserve">das Volk </w:t>
      </w:r>
      <w:r w:rsidR="006D4539">
        <w:t xml:space="preserve">Israel, wo immer </w:t>
      </w:r>
      <w:r w:rsidR="00B5474B">
        <w:t xml:space="preserve">dieses </w:t>
      </w:r>
      <w:r w:rsidR="006D4539">
        <w:t xml:space="preserve">in </w:t>
      </w:r>
      <w:r w:rsidR="00B5474B">
        <w:t>der</w:t>
      </w:r>
      <w:r w:rsidR="006D4539">
        <w:t xml:space="preserve"> Welt lebt</w:t>
      </w:r>
      <w:r w:rsidR="00B5474B">
        <w:t xml:space="preserve">. </w:t>
      </w:r>
      <w:r w:rsidR="0054121F">
        <w:t>T</w:t>
      </w:r>
      <w:r w:rsidR="00B5474B">
        <w:t xml:space="preserve">atsächlich hat sich Israel (als </w:t>
      </w:r>
      <w:r w:rsidR="0054121F">
        <w:t xml:space="preserve">gesamtes </w:t>
      </w:r>
      <w:r w:rsidR="00B5474B">
        <w:t>Volk) bis zur Stunde nicht zu Christus bekehrt.</w:t>
      </w:r>
    </w:p>
    <w:p w14:paraId="0A06469D" w14:textId="77777777" w:rsidR="00AF62D4" w:rsidRDefault="00AF62D4" w:rsidP="00B95EA3"/>
    <w:p w14:paraId="2DCFB480" w14:textId="5BE0A6CE" w:rsidR="006D4539" w:rsidRDefault="006D4539" w:rsidP="006D4539">
      <w:pPr>
        <w:pStyle w:val="Listenabsatz"/>
        <w:numPr>
          <w:ilvl w:val="0"/>
          <w:numId w:val="16"/>
        </w:numPr>
        <w:ind w:left="360"/>
      </w:pPr>
      <w:r>
        <w:t xml:space="preserve">Die Lösung für die dritte „Naherwartungsstelle“ ist </w:t>
      </w:r>
      <w:r w:rsidR="00D177BA">
        <w:t>einfach</w:t>
      </w:r>
      <w:r>
        <w:t xml:space="preserve">: Wenn Jesus in </w:t>
      </w:r>
      <w:proofErr w:type="spellStart"/>
      <w:r>
        <w:t>Mt</w:t>
      </w:r>
      <w:proofErr w:type="spellEnd"/>
      <w:r>
        <w:t xml:space="preserve"> 9</w:t>
      </w:r>
      <w:r w:rsidR="00CB4CD8">
        <w:t>,1</w:t>
      </w:r>
      <w:r>
        <w:t xml:space="preserve"> ankündigt, einige Jünger </w:t>
      </w:r>
      <w:r w:rsidR="00320C11">
        <w:t>würden</w:t>
      </w:r>
      <w:r>
        <w:t xml:space="preserve"> den Tod nicht schauen, bevor sie gesehen hätten, „dass das Reich Gottes in Macht gekommen sei“, dann </w:t>
      </w:r>
      <w:r w:rsidR="00CB4CD8">
        <w:t xml:space="preserve">erfüllt </w:t>
      </w:r>
      <w:r w:rsidR="00D177BA">
        <w:t>sich</w:t>
      </w:r>
      <w:r w:rsidR="00CB4CD8">
        <w:t xml:space="preserve"> diese Verheißung </w:t>
      </w:r>
      <w:r w:rsidR="00320C11">
        <w:t>bereits</w:t>
      </w:r>
      <w:r w:rsidR="00CB4CD8">
        <w:t xml:space="preserve"> einige Tage später – auf dem Tabor, wo Petrus, Jakobus und Johannes</w:t>
      </w:r>
      <w:r w:rsidR="00D02F21">
        <w:t xml:space="preserve"> bei der Verklärung Christi</w:t>
      </w:r>
      <w:r w:rsidR="00CB4CD8">
        <w:t xml:space="preserve"> das Reich Gottes in Macht sehen.</w:t>
      </w:r>
    </w:p>
    <w:p w14:paraId="144C6693" w14:textId="77777777" w:rsidR="00063124" w:rsidRDefault="00063124" w:rsidP="00B95EA3"/>
    <w:p w14:paraId="5207C13C" w14:textId="77777777" w:rsidR="00CB4CD8" w:rsidRDefault="00CB4CD8" w:rsidP="00CB4CD8">
      <w:pPr>
        <w:pStyle w:val="berschrift1"/>
      </w:pPr>
      <w:r>
        <w:t>„Warten“ als zentrale Botschaft in Jesu Predigt</w:t>
      </w:r>
    </w:p>
    <w:p w14:paraId="0E8CFE9B" w14:textId="1BDFDEFB" w:rsidR="00D177BA" w:rsidRDefault="00524834" w:rsidP="00CB4CD8">
      <w:r>
        <w:t xml:space="preserve">Warum </w:t>
      </w:r>
      <w:r w:rsidR="00D177BA">
        <w:t>gebraucht</w:t>
      </w:r>
      <w:r>
        <w:t xml:space="preserve"> Jesus in seiner Predigt Formulierungen, die bei seinen Hö</w:t>
      </w:r>
      <w:r w:rsidR="002B0589">
        <w:t xml:space="preserve">rern das Missverständnis einer </w:t>
      </w:r>
      <w:r w:rsidR="00D02F21">
        <w:t xml:space="preserve">baldigen </w:t>
      </w:r>
      <w:r w:rsidR="002B0589">
        <w:t>Wiederkunft provo</w:t>
      </w:r>
      <w:r w:rsidR="00B5314B">
        <w:t>z</w:t>
      </w:r>
      <w:r w:rsidR="002B0589">
        <w:t>ierten</w:t>
      </w:r>
      <w:r>
        <w:t xml:space="preserve">? </w:t>
      </w:r>
      <w:r w:rsidR="00D02F21">
        <w:t>War ein solches</w:t>
      </w:r>
      <w:r w:rsidR="00D177BA">
        <w:t xml:space="preserve"> Missverständnis nicht voraussehbar?</w:t>
      </w:r>
    </w:p>
    <w:p w14:paraId="521031B0" w14:textId="7B5BFD6C" w:rsidR="002B0589" w:rsidRDefault="002B0589" w:rsidP="00CB4CD8">
      <w:r>
        <w:t xml:space="preserve">Jesus verlangt von </w:t>
      </w:r>
      <w:r w:rsidR="00524834">
        <w:t xml:space="preserve">seinen Jüngern </w:t>
      </w:r>
      <w:r w:rsidR="00D177BA">
        <w:t xml:space="preserve">eine </w:t>
      </w:r>
      <w:r w:rsidR="00524834">
        <w:t>Halt</w:t>
      </w:r>
      <w:r>
        <w:t xml:space="preserve">ung der sehnsüchtigen Erwartung, kein bloßes Absitzen der Zeit bis </w:t>
      </w:r>
      <w:r w:rsidR="00D177BA">
        <w:t xml:space="preserve">zu seiner Wiederkunft. </w:t>
      </w:r>
      <w:r>
        <w:t>Um dieses „In-Erwartung-bleiben“ zu ermöglichen</w:t>
      </w:r>
      <w:r w:rsidR="00B5474B">
        <w:t xml:space="preserve"> und </w:t>
      </w:r>
      <w:r w:rsidR="00E97D5D">
        <w:t xml:space="preserve">in den Jüngern </w:t>
      </w:r>
      <w:r w:rsidR="00B5474B">
        <w:t>eine ständige Bereitschaft wachzuhalten</w:t>
      </w:r>
      <w:r>
        <w:t xml:space="preserve">, war die </w:t>
      </w:r>
      <w:r w:rsidR="00E97D5D">
        <w:t xml:space="preserve">vage </w:t>
      </w:r>
      <w:r>
        <w:t>Ankündigung einer scheinbar baldigen Wiederkunft sinnvoll.</w:t>
      </w:r>
    </w:p>
    <w:p w14:paraId="524EFB50" w14:textId="70A2E7E0" w:rsidR="00524834" w:rsidRDefault="00E97D5D" w:rsidP="00CB4CD8">
      <w:r>
        <w:t>Die</w:t>
      </w:r>
      <w:r w:rsidR="00524834">
        <w:t xml:space="preserve"> Mahnung zum wachsamen Warten </w:t>
      </w:r>
      <w:r>
        <w:t xml:space="preserve">zieht sich </w:t>
      </w:r>
      <w:r w:rsidR="00524834">
        <w:t xml:space="preserve">wie ein roter Faden durch die Verkündigung Jesu; </w:t>
      </w:r>
      <w:r>
        <w:t xml:space="preserve">auch </w:t>
      </w:r>
      <w:r w:rsidR="00524834">
        <w:t xml:space="preserve">seine Gleichnisse sind ein </w:t>
      </w:r>
      <w:r w:rsidR="0054121F">
        <w:t>deutliches</w:t>
      </w:r>
      <w:r w:rsidR="00524834">
        <w:t xml:space="preserve"> Zeugnis dafür:</w:t>
      </w:r>
    </w:p>
    <w:p w14:paraId="3B0C05C1" w14:textId="77777777" w:rsidR="00524834" w:rsidRDefault="00524834" w:rsidP="00CB4CD8"/>
    <w:p w14:paraId="574580D9" w14:textId="77777777" w:rsidR="00524834" w:rsidRDefault="00524834" w:rsidP="00EA07C4">
      <w:pPr>
        <w:pStyle w:val="Listenabsatz"/>
        <w:numPr>
          <w:ilvl w:val="0"/>
          <w:numId w:val="17"/>
        </w:numPr>
      </w:pPr>
      <w:r>
        <w:t>Die Jünger erhalten Talente und sollen damit in der</w:t>
      </w:r>
      <w:r w:rsidR="00641A48">
        <w:t xml:space="preserve"> Zeit, in der sie auf die Wiederkunft Jesu warten</w:t>
      </w:r>
      <w:r>
        <w:t xml:space="preserve"> wuchern (</w:t>
      </w:r>
      <w:proofErr w:type="spellStart"/>
      <w:r>
        <w:t>Mt</w:t>
      </w:r>
      <w:proofErr w:type="spellEnd"/>
      <w:r>
        <w:t xml:space="preserve"> 25,14-30</w:t>
      </w:r>
      <w:r w:rsidR="00B5314B">
        <w:t>;</w:t>
      </w:r>
      <w:r>
        <w:t xml:space="preserve"> </w:t>
      </w:r>
      <w:proofErr w:type="spellStart"/>
      <w:r w:rsidR="00CB4CD8" w:rsidRPr="00D2184F">
        <w:t>Lk</w:t>
      </w:r>
      <w:proofErr w:type="spellEnd"/>
      <w:r w:rsidR="00CB4CD8" w:rsidRPr="00D2184F">
        <w:t xml:space="preserve"> 19,11-27</w:t>
      </w:r>
      <w:r>
        <w:t>)</w:t>
      </w:r>
    </w:p>
    <w:p w14:paraId="206CE677" w14:textId="77777777" w:rsidR="00524834" w:rsidRDefault="00524834" w:rsidP="00512A09">
      <w:pPr>
        <w:pStyle w:val="Listenabsatz"/>
        <w:numPr>
          <w:ilvl w:val="0"/>
          <w:numId w:val="17"/>
        </w:numPr>
      </w:pPr>
      <w:r>
        <w:t xml:space="preserve">Die zehn </w:t>
      </w:r>
      <w:r w:rsidR="00CB4CD8">
        <w:t xml:space="preserve">Jungfrauen </w:t>
      </w:r>
      <w:r>
        <w:t>haben den Auftrag, auf ihren Bräutigam zu warten (</w:t>
      </w:r>
      <w:proofErr w:type="spellStart"/>
      <w:r w:rsidR="00CB4CD8" w:rsidRPr="00D2184F">
        <w:t>Mt</w:t>
      </w:r>
      <w:proofErr w:type="spellEnd"/>
      <w:r w:rsidR="00CB4CD8" w:rsidRPr="00D2184F">
        <w:t xml:space="preserve"> 25,1-13</w:t>
      </w:r>
      <w:r>
        <w:t>), der dann aber</w:t>
      </w:r>
      <w:r w:rsidR="00CB4CD8">
        <w:t xml:space="preserve"> „</w:t>
      </w:r>
      <w:r w:rsidR="00CB4CD8" w:rsidRPr="00F34D42">
        <w:t>lange nicht kam</w:t>
      </w:r>
      <w:r>
        <w:t>“ (</w:t>
      </w:r>
      <w:proofErr w:type="spellStart"/>
      <w:r>
        <w:t>Mt</w:t>
      </w:r>
      <w:proofErr w:type="spellEnd"/>
      <w:r>
        <w:t xml:space="preserve"> 25,5). Jesus warnt hier im Gleichnis geradezu vor einer Naherwartung.</w:t>
      </w:r>
    </w:p>
    <w:p w14:paraId="0CD230B6" w14:textId="77777777" w:rsidR="00524834" w:rsidRDefault="00524834" w:rsidP="00BC37E0">
      <w:pPr>
        <w:pStyle w:val="Listenabsatz"/>
        <w:numPr>
          <w:ilvl w:val="0"/>
          <w:numId w:val="17"/>
        </w:numPr>
      </w:pPr>
      <w:r>
        <w:t xml:space="preserve">Der Sämann lässt Weizen und </w:t>
      </w:r>
      <w:r w:rsidR="00CB4CD8">
        <w:t xml:space="preserve">Unkraut </w:t>
      </w:r>
      <w:r>
        <w:t xml:space="preserve">gemeinsam </w:t>
      </w:r>
      <w:r w:rsidR="00CB4CD8">
        <w:t xml:space="preserve">wachsen </w:t>
      </w:r>
      <w:r>
        <w:t>und wartet geduldig auf die Ernte (</w:t>
      </w:r>
      <w:proofErr w:type="spellStart"/>
      <w:r w:rsidR="00CB4CD8" w:rsidRPr="00D2184F">
        <w:t>Mt</w:t>
      </w:r>
      <w:proofErr w:type="spellEnd"/>
      <w:r w:rsidR="00CB4CD8" w:rsidRPr="00D2184F">
        <w:t xml:space="preserve"> 13,24-30</w:t>
      </w:r>
      <w:r>
        <w:t>)</w:t>
      </w:r>
    </w:p>
    <w:p w14:paraId="76A3628C" w14:textId="77777777" w:rsidR="00CB4CD8" w:rsidRDefault="00524834" w:rsidP="00BC37E0">
      <w:pPr>
        <w:pStyle w:val="Listenabsatz"/>
        <w:numPr>
          <w:ilvl w:val="0"/>
          <w:numId w:val="17"/>
        </w:numPr>
      </w:pPr>
      <w:r>
        <w:t xml:space="preserve">Der Gärtner lässt den </w:t>
      </w:r>
      <w:r w:rsidR="00CB4CD8">
        <w:t xml:space="preserve">Feigenbaum stehen </w:t>
      </w:r>
      <w:r>
        <w:t>und wartet lange ab (</w:t>
      </w:r>
      <w:proofErr w:type="spellStart"/>
      <w:r w:rsidR="00CB4CD8" w:rsidRPr="00D2184F">
        <w:t>Lk</w:t>
      </w:r>
      <w:proofErr w:type="spellEnd"/>
      <w:r w:rsidR="00CB4CD8" w:rsidRPr="00D2184F">
        <w:t xml:space="preserve"> 13,6-9</w:t>
      </w:r>
      <w:r>
        <w:t>).</w:t>
      </w:r>
    </w:p>
    <w:p w14:paraId="75088A0B" w14:textId="77777777" w:rsidR="00524834" w:rsidRDefault="00524834" w:rsidP="00524834"/>
    <w:p w14:paraId="63A4CB7E" w14:textId="18A4D39A" w:rsidR="00524834" w:rsidRDefault="002B0589" w:rsidP="00524834">
      <w:r>
        <w:t>Bemerkenswert ist, dass k</w:t>
      </w:r>
      <w:r w:rsidR="00524834">
        <w:t xml:space="preserve">ein einziges Gleichnis </w:t>
      </w:r>
      <w:r w:rsidR="00D177BA">
        <w:t>einen Hinweis</w:t>
      </w:r>
      <w:r w:rsidR="00564521">
        <w:t xml:space="preserve"> </w:t>
      </w:r>
      <w:r w:rsidR="00641A48">
        <w:t xml:space="preserve">auf </w:t>
      </w:r>
      <w:r w:rsidR="00564521">
        <w:t>eine baldige Wiederkunft</w:t>
      </w:r>
      <w:r>
        <w:t xml:space="preserve"> gibt.</w:t>
      </w:r>
      <w:r w:rsidR="0054121F">
        <w:t xml:space="preserve"> D</w:t>
      </w:r>
      <w:r w:rsidR="00564521">
        <w:t xml:space="preserve">ie Pointe </w:t>
      </w:r>
      <w:r w:rsidR="0054121F">
        <w:t xml:space="preserve">zielt immer </w:t>
      </w:r>
      <w:r w:rsidR="00564521">
        <w:t xml:space="preserve">auf </w:t>
      </w:r>
      <w:r>
        <w:t xml:space="preserve">ein </w:t>
      </w:r>
      <w:r w:rsidR="00564521">
        <w:t>geduldiges Warten, das lange ausbleiben kann.</w:t>
      </w:r>
    </w:p>
    <w:p w14:paraId="441F9895" w14:textId="77777777" w:rsidR="00CB4CD8" w:rsidRDefault="00CB4CD8" w:rsidP="00B95EA3"/>
    <w:p w14:paraId="0B2D76FB" w14:textId="77777777" w:rsidR="00C40520" w:rsidRDefault="00C40520" w:rsidP="00C40520">
      <w:pPr>
        <w:pStyle w:val="berschrift1"/>
      </w:pPr>
      <w:r>
        <w:t>Die Naherwartung der Urkirche</w:t>
      </w:r>
    </w:p>
    <w:p w14:paraId="6A3A2F68" w14:textId="77777777" w:rsidR="00325CB2" w:rsidRDefault="005B193C" w:rsidP="00325CB2">
      <w:r>
        <w:t>I</w:t>
      </w:r>
      <w:r w:rsidR="00C40520">
        <w:t xml:space="preserve">n den Briefen der Apostel gibt es </w:t>
      </w:r>
      <w:r>
        <w:t>mehrere</w:t>
      </w:r>
      <w:r w:rsidR="00C40520">
        <w:t xml:space="preserve"> Stellen, die andeuten, dass die </w:t>
      </w:r>
      <w:r w:rsidR="00A62ADC">
        <w:t xml:space="preserve">Apostel und die </w:t>
      </w:r>
      <w:r w:rsidR="00C40520">
        <w:t>ersten Christen in unmittelbarer Erwartung de</w:t>
      </w:r>
      <w:r w:rsidR="00325CB2">
        <w:t xml:space="preserve">r Wiederkunft Jesu </w:t>
      </w:r>
      <w:proofErr w:type="gramStart"/>
      <w:r w:rsidR="00325CB2">
        <w:t>lebten</w:t>
      </w:r>
      <w:proofErr w:type="gramEnd"/>
      <w:r w:rsidR="002B4FED">
        <w:t>.</w:t>
      </w:r>
      <w:r w:rsidR="00C40520">
        <w:t xml:space="preserve"> </w:t>
      </w:r>
      <w:r w:rsidR="00325CB2">
        <w:t>„</w:t>
      </w:r>
      <w:r w:rsidR="00325CB2" w:rsidRPr="00C60A88">
        <w:t>Eure Güte werde allen Menschen bekannt. Der Herr ist nahe</w:t>
      </w:r>
      <w:r w:rsidR="00325CB2">
        <w:t>“ (Phil 4,5).</w:t>
      </w:r>
      <w:r w:rsidR="00325CB2" w:rsidRPr="00C40520">
        <w:t xml:space="preserve"> </w:t>
      </w:r>
      <w:r w:rsidR="00325CB2">
        <w:t>Im Hebräerbrief heißt es: „</w:t>
      </w:r>
      <w:r w:rsidR="00325CB2" w:rsidRPr="00C60A88">
        <w:t>Denn nur noch eine kurze Zeit, dann wird der kommen, der komme</w:t>
      </w:r>
      <w:r w:rsidR="00325CB2">
        <w:t>n soll, und er bleibt nicht aus“ (</w:t>
      </w:r>
      <w:proofErr w:type="spellStart"/>
      <w:r w:rsidR="00325CB2">
        <w:t>Hebr</w:t>
      </w:r>
      <w:proofErr w:type="spellEnd"/>
      <w:r w:rsidR="00325CB2">
        <w:t xml:space="preserve"> 10,37). Und der Apostel Jakobus mahnt: „</w:t>
      </w:r>
      <w:r w:rsidR="00325CB2" w:rsidRPr="00C60A88">
        <w:t>Ebenso geduldig sollt auch ihr sein. Macht euer Herz stark, denn die Ank</w:t>
      </w:r>
      <w:r w:rsidR="00325CB2">
        <w:t xml:space="preserve">unft des Herrn steht nahe bevor“ (Jak 5,8). Ähnliche Formulierungen finden sich in 1Kor 7,29ff, </w:t>
      </w:r>
      <w:proofErr w:type="spellStart"/>
      <w:r w:rsidR="00325CB2">
        <w:t>Röm</w:t>
      </w:r>
      <w:proofErr w:type="spellEnd"/>
      <w:r w:rsidR="00325CB2">
        <w:t xml:space="preserve"> 13,11f und </w:t>
      </w:r>
      <w:proofErr w:type="spellStart"/>
      <w:r w:rsidR="00325CB2">
        <w:t>Hebr</w:t>
      </w:r>
      <w:proofErr w:type="spellEnd"/>
      <w:r w:rsidR="00325CB2">
        <w:t xml:space="preserve"> 10,25.</w:t>
      </w:r>
    </w:p>
    <w:p w14:paraId="553999C6" w14:textId="77777777" w:rsidR="00C40520" w:rsidRDefault="00325CB2" w:rsidP="00325CB2">
      <w:r>
        <w:t>Besonders ausführlich widmet sich Paulus in seinem ersten Brief</w:t>
      </w:r>
      <w:r w:rsidR="00C40520">
        <w:t xml:space="preserve"> an die Thessalonicher</w:t>
      </w:r>
      <w:r w:rsidR="002B4FED" w:rsidRPr="002B4FED">
        <w:t xml:space="preserve"> </w:t>
      </w:r>
      <w:r w:rsidR="002B4FED">
        <w:t>der Thematik</w:t>
      </w:r>
      <w:r w:rsidR="00C40520">
        <w:t>:</w:t>
      </w:r>
    </w:p>
    <w:p w14:paraId="1DCD1779" w14:textId="77777777" w:rsidR="00C40520" w:rsidRDefault="00C40520" w:rsidP="00B95EA3"/>
    <w:p w14:paraId="600A4EED" w14:textId="77777777" w:rsidR="00FF3C8E" w:rsidRDefault="00C60A88" w:rsidP="00C40520">
      <w:pPr>
        <w:ind w:left="708"/>
      </w:pPr>
      <w:r>
        <w:t>„Denn dies sagen wir euch nach einem Wort des Herrn: Wir, die Lebenden, die noch übrig sind, wenn der Herr kommt, werden den Verstorbenen nichts voraushaben. Denn der Herr selbst wird vom Himmel herabkommen (...) Zuerst werden die in Christus Verstorbenen auferstehen; dann werden wir, die Lebenden, die noch übrig sind, zugleich mit ihnen auf den Wolken in die Luf</w:t>
      </w:r>
      <w:r w:rsidR="002B4FED">
        <w:t>t entrückt, dem Herrn entgegen</w:t>
      </w:r>
      <w:r w:rsidR="00C40520">
        <w:t>“ (1Thess 4,15-17).</w:t>
      </w:r>
    </w:p>
    <w:p w14:paraId="0682CF5D" w14:textId="77777777" w:rsidR="00C40520" w:rsidRDefault="00C40520" w:rsidP="00C60A88"/>
    <w:p w14:paraId="6359E086" w14:textId="77777777" w:rsidR="006377E1" w:rsidRDefault="00325CB2" w:rsidP="00C60A88">
      <w:r>
        <w:lastRenderedPageBreak/>
        <w:t>Ist also</w:t>
      </w:r>
      <w:r w:rsidR="000C6E42">
        <w:t xml:space="preserve"> die </w:t>
      </w:r>
      <w:r>
        <w:t xml:space="preserve">Urkirche </w:t>
      </w:r>
      <w:r w:rsidR="000C6E42">
        <w:t xml:space="preserve">von einer sehr </w:t>
      </w:r>
      <w:r>
        <w:t>nahen</w:t>
      </w:r>
      <w:r w:rsidR="000C6E42">
        <w:t xml:space="preserve"> Wieder</w:t>
      </w:r>
      <w:r>
        <w:t>kunft Christi ausgegangen?</w:t>
      </w:r>
    </w:p>
    <w:p w14:paraId="0A07684C" w14:textId="77777777" w:rsidR="000C6E42" w:rsidRDefault="000C6E42" w:rsidP="00C60A88"/>
    <w:p w14:paraId="5938E980" w14:textId="77777777" w:rsidR="006377E1" w:rsidRDefault="00A62ADC" w:rsidP="006377E1">
      <w:pPr>
        <w:pStyle w:val="berschrift1"/>
      </w:pPr>
      <w:r>
        <w:t xml:space="preserve">Die gegenläufige </w:t>
      </w:r>
      <w:r w:rsidR="002B4FED">
        <w:t>Linie</w:t>
      </w:r>
      <w:r>
        <w:t xml:space="preserve"> in den Briefen der Apostel</w:t>
      </w:r>
    </w:p>
    <w:p w14:paraId="7762AEAF" w14:textId="422BE9B8" w:rsidR="00A62ADC" w:rsidRDefault="00641A48" w:rsidP="006377E1">
      <w:r>
        <w:t>W</w:t>
      </w:r>
      <w:r w:rsidR="00A62ADC">
        <w:t>ie in den Texten des Evang</w:t>
      </w:r>
      <w:r w:rsidR="002B4FED">
        <w:t>eliums unmittelbar neben den Naherwartungstexten</w:t>
      </w:r>
      <w:r w:rsidR="00A62ADC">
        <w:t xml:space="preserve"> </w:t>
      </w:r>
      <w:r>
        <w:t xml:space="preserve">betont wird, dass man den </w:t>
      </w:r>
      <w:r w:rsidR="00A62ADC">
        <w:t xml:space="preserve">Termins </w:t>
      </w:r>
      <w:r>
        <w:t>nicht kennt</w:t>
      </w:r>
      <w:r w:rsidR="00A62ADC">
        <w:t xml:space="preserve">, so gibt auch Paulus direkt </w:t>
      </w:r>
      <w:r w:rsidR="002B4FED">
        <w:t>im Anschluss an die eben zitierte Textstelle</w:t>
      </w:r>
      <w:r w:rsidR="00A62ADC">
        <w:t xml:space="preserve"> zu bedenken, dass der Zeitpunkt </w:t>
      </w:r>
      <w:r w:rsidR="002B4FED">
        <w:t xml:space="preserve">der Wiederkunft Christi </w:t>
      </w:r>
      <w:r w:rsidR="00A62ADC">
        <w:t xml:space="preserve">unbekannt sei: </w:t>
      </w:r>
      <w:r w:rsidR="006377E1">
        <w:t>„Über Zeit und Stunde, Brüder, brauche ich euch nicht zu schreiben. Ihr selbst wisst genau, dass der Tag des Herrn kommt wie ein Dieb in der Nacht“ (1</w:t>
      </w:r>
      <w:r>
        <w:t xml:space="preserve"> </w:t>
      </w:r>
      <w:proofErr w:type="spellStart"/>
      <w:r w:rsidR="006377E1">
        <w:t>Thess</w:t>
      </w:r>
      <w:proofErr w:type="spellEnd"/>
      <w:r w:rsidR="006377E1">
        <w:t xml:space="preserve"> 5,1f)</w:t>
      </w:r>
      <w:r>
        <w:t>.</w:t>
      </w:r>
      <w:r w:rsidR="00D02F21">
        <w:t xml:space="preserve"> </w:t>
      </w:r>
      <w:r w:rsidR="002B4FED">
        <w:t>D</w:t>
      </w:r>
      <w:r w:rsidR="00A62ADC">
        <w:t xml:space="preserve">iese Anmerkung </w:t>
      </w:r>
      <w:r w:rsidR="002B4FED">
        <w:t xml:space="preserve">konnte jedoch </w:t>
      </w:r>
      <w:r w:rsidR="00A62ADC">
        <w:t xml:space="preserve">die Gläubigen </w:t>
      </w:r>
      <w:r w:rsidR="00D02F21">
        <w:t xml:space="preserve">offensichtlich </w:t>
      </w:r>
      <w:r w:rsidR="00A62ADC">
        <w:t>nich</w:t>
      </w:r>
      <w:r w:rsidR="002B4FED">
        <w:t xml:space="preserve">t beruhigen, so dass Paulus sich gezwungen sah, in </w:t>
      </w:r>
      <w:r w:rsidR="00A62ADC">
        <w:t xml:space="preserve">einem zweiten Brief an die Thessalonicher auf das </w:t>
      </w:r>
      <w:r w:rsidR="00325CB2">
        <w:t>Thema „Naherwartung“ zurück</w:t>
      </w:r>
      <w:r w:rsidR="002B4FED">
        <w:t>zu</w:t>
      </w:r>
      <w:r w:rsidR="00325CB2">
        <w:t>kommen</w:t>
      </w:r>
      <w:r w:rsidR="00A62ADC">
        <w:t>:</w:t>
      </w:r>
    </w:p>
    <w:p w14:paraId="1FD471F4" w14:textId="77777777" w:rsidR="006377E1" w:rsidRDefault="006377E1" w:rsidP="006377E1"/>
    <w:p w14:paraId="34245337" w14:textId="77777777" w:rsidR="006377E1" w:rsidRDefault="006377E1" w:rsidP="00A62ADC">
      <w:pPr>
        <w:ind w:left="708"/>
      </w:pPr>
      <w:r>
        <w:t>„Brüder, wir schreiben euch über die Ankunft Jesu Christi, unseres Herrn, und unsere Vereinigung mit ihm und bitten euch: Lasst euch nicht so schnell aus der Fassung bringen und in Schrecken jagen, wenn in einem prophetischen Wort oder einer Rede oder in einem Brief, der angeblich von uns stammt, behauptet wird, der Tag des Herrn sei schon da. Lasst euch durch niemand und auf keine Weise täuschen! Denn zuerst muss der Abfall von Gott kommen und der Mensch der Gesetzwidrigkeit erscheinen, der Sohn des Verderbens, der Widersacher, der sich über alles, was Gott oder Heiligtum heißt, so sehr erhebt, dass er sich sogar in den Tempel Gottes setzt und sich als Gott ausgibt. Erinnert ihr euch nicht, dass ich euch dies schon gesagt habe, als ich bei euch war?“ (2Thess 2,1-5)</w:t>
      </w:r>
    </w:p>
    <w:p w14:paraId="709939F2" w14:textId="77777777" w:rsidR="006377E1" w:rsidRDefault="006377E1" w:rsidP="006377E1"/>
    <w:p w14:paraId="4150F85E" w14:textId="222B4588" w:rsidR="00571350" w:rsidRDefault="00325CB2" w:rsidP="00571350">
      <w:r>
        <w:t xml:space="preserve">Paulus warnt seine Gemeine ausdrücklich vor </w:t>
      </w:r>
      <w:r w:rsidR="002B4FED">
        <w:t>einer zu konkreten Naherwartung.</w:t>
      </w:r>
      <w:r>
        <w:t xml:space="preserve"> Diese Stelle ist bemerkenswert, weil die</w:t>
      </w:r>
      <w:r w:rsidR="002B4FED">
        <w:t xml:space="preserve"> beiden Schreiben an die </w:t>
      </w:r>
      <w:r w:rsidR="00A62ADC">
        <w:t xml:space="preserve">Thessalonicher zu den </w:t>
      </w:r>
      <w:r w:rsidR="00D02F21">
        <w:t>ältesten</w:t>
      </w:r>
      <w:r w:rsidR="00A62ADC">
        <w:t xml:space="preserve"> Briefen des </w:t>
      </w:r>
      <w:r w:rsidR="00E96E03">
        <w:t>Völkerapostels</w:t>
      </w:r>
      <w:r w:rsidR="00A62ADC">
        <w:t xml:space="preserve"> </w:t>
      </w:r>
      <w:r w:rsidR="00E8155F">
        <w:t xml:space="preserve">und damit überhaupt zu den ersten Schriften </w:t>
      </w:r>
      <w:r w:rsidR="00E96E03">
        <w:t>des N</w:t>
      </w:r>
      <w:r w:rsidR="003774E2">
        <w:t xml:space="preserve">euen </w:t>
      </w:r>
      <w:r w:rsidR="00E96E03">
        <w:t>T</w:t>
      </w:r>
      <w:r w:rsidR="003774E2">
        <w:t>estaments</w:t>
      </w:r>
      <w:r>
        <w:t xml:space="preserve"> </w:t>
      </w:r>
      <w:r w:rsidR="002B4FED">
        <w:t xml:space="preserve">zählen </w:t>
      </w:r>
      <w:r>
        <w:t>(</w:t>
      </w:r>
      <w:r w:rsidR="00E96E03">
        <w:t>um ca. 50 nach Christus</w:t>
      </w:r>
      <w:r>
        <w:t>)</w:t>
      </w:r>
      <w:r w:rsidR="00E8155F">
        <w:t>.</w:t>
      </w:r>
      <w:r w:rsidR="00E96E03">
        <w:t xml:space="preserve"> </w:t>
      </w:r>
      <w:r>
        <w:t>Die Mahnung des Paulus zeigt</w:t>
      </w:r>
      <w:r w:rsidR="00E96E03">
        <w:t xml:space="preserve">, dass </w:t>
      </w:r>
      <w:r w:rsidR="00571350">
        <w:t xml:space="preserve">es in der Urkirche </w:t>
      </w:r>
      <w:r w:rsidR="002B4FED">
        <w:t xml:space="preserve">zwar </w:t>
      </w:r>
      <w:r w:rsidR="00571350">
        <w:t xml:space="preserve">tatsächlich eine Tendenz zur Naherwartung gab, sie macht aber zugleich deutlich, dass </w:t>
      </w:r>
      <w:r w:rsidR="002B4FED">
        <w:t>diese Tendenz</w:t>
      </w:r>
      <w:r w:rsidR="00571350">
        <w:t xml:space="preserve"> vom Apostel zurückgewiesen wird</w:t>
      </w:r>
      <w:r w:rsidR="003774E2">
        <w:t>,</w:t>
      </w:r>
      <w:r w:rsidR="00571350">
        <w:t xml:space="preserve"> und zwar </w:t>
      </w:r>
      <w:r w:rsidR="002B4FED">
        <w:t>schon</w:t>
      </w:r>
      <w:r w:rsidR="00571350">
        <w:t xml:space="preserve"> zu einer Zeit, </w:t>
      </w:r>
      <w:r w:rsidR="002B4FED">
        <w:t>da</w:t>
      </w:r>
      <w:r w:rsidR="00571350">
        <w:t xml:space="preserve"> eine </w:t>
      </w:r>
      <w:r w:rsidR="00E96E03">
        <w:t xml:space="preserve">rasche Wiederkunft </w:t>
      </w:r>
      <w:r w:rsidR="00571350">
        <w:t xml:space="preserve">Christi durchaus </w:t>
      </w:r>
      <w:r w:rsidR="00E96E03">
        <w:t xml:space="preserve">noch </w:t>
      </w:r>
      <w:r w:rsidR="00571350">
        <w:t xml:space="preserve">möglich gewesen </w:t>
      </w:r>
      <w:r w:rsidR="003774E2">
        <w:t xml:space="preserve">war </w:t>
      </w:r>
      <w:r w:rsidR="00571350">
        <w:t>(knapp 20 Jahren</w:t>
      </w:r>
      <w:r w:rsidR="002B4FED">
        <w:t xml:space="preserve"> nach der Himmelfahrt</w:t>
      </w:r>
      <w:r w:rsidR="00571350">
        <w:t>).</w:t>
      </w:r>
    </w:p>
    <w:p w14:paraId="5A5506F0" w14:textId="77777777" w:rsidR="00A62ADC" w:rsidRPr="006377E1" w:rsidRDefault="00571350" w:rsidP="00571350">
      <w:r>
        <w:t xml:space="preserve">Die These, die Urkirche hätte allgemein in einer unmittelbaren Naherwartung gelebt und </w:t>
      </w:r>
      <w:r w:rsidR="002B4FED">
        <w:t xml:space="preserve">sich </w:t>
      </w:r>
      <w:r>
        <w:t xml:space="preserve">erst durch das Ausbleiben der Wiederkunft Christi </w:t>
      </w:r>
      <w:r w:rsidR="002B4FED">
        <w:t>umorientiert</w:t>
      </w:r>
      <w:r>
        <w:t xml:space="preserve">, lässt sich </w:t>
      </w:r>
      <w:r w:rsidR="002B4FED">
        <w:t>also aus den Schriften des N</w:t>
      </w:r>
      <w:r w:rsidR="003774E2">
        <w:t xml:space="preserve">euen </w:t>
      </w:r>
      <w:r w:rsidR="002B4FED">
        <w:t>T</w:t>
      </w:r>
      <w:r w:rsidR="003774E2">
        <w:t>estaments</w:t>
      </w:r>
      <w:r w:rsidR="002B4FED">
        <w:t xml:space="preserve"> nicht belegen.</w:t>
      </w:r>
    </w:p>
    <w:p w14:paraId="0AF80865" w14:textId="77777777" w:rsidR="00FF3C8E" w:rsidRDefault="00FF3C8E" w:rsidP="00B95EA3"/>
    <w:p w14:paraId="6866D10C" w14:textId="77777777" w:rsidR="00571350" w:rsidRPr="001E71B3" w:rsidRDefault="002B4FED" w:rsidP="00571350">
      <w:pPr>
        <w:pStyle w:val="berschrift1"/>
        <w:rPr>
          <w:sz w:val="18"/>
        </w:rPr>
      </w:pPr>
      <w:proofErr w:type="spellStart"/>
      <w:r>
        <w:t>One</w:t>
      </w:r>
      <w:proofErr w:type="spellEnd"/>
      <w:r>
        <w:t xml:space="preserve"> More Thing</w:t>
      </w:r>
    </w:p>
    <w:p w14:paraId="4B6EA8B4" w14:textId="4C74F051" w:rsidR="005433F1" w:rsidRDefault="005433F1" w:rsidP="00B95EA3">
      <w:r>
        <w:t xml:space="preserve">Die Annahme, die Urkirche hätte allgemein in einer </w:t>
      </w:r>
      <w:r w:rsidR="009E4F43">
        <w:t>unmittelbaren</w:t>
      </w:r>
      <w:r>
        <w:t xml:space="preserve"> Naherwa</w:t>
      </w:r>
      <w:r w:rsidR="00E97D5D">
        <w:t>rtung gelebt, führt zu folgender widersprüchlichen Situation</w:t>
      </w:r>
      <w:r>
        <w:t xml:space="preserve">: Wenn die ersten Christen </w:t>
      </w:r>
      <w:r w:rsidR="009E4F43">
        <w:t xml:space="preserve">die </w:t>
      </w:r>
      <w:r>
        <w:t xml:space="preserve">Wiederkunft Christi </w:t>
      </w:r>
      <w:r w:rsidR="009E4F43">
        <w:t>grundsätzlich als zeitnahes Ereignis erwartet hätten</w:t>
      </w:r>
      <w:r>
        <w:t xml:space="preserve">, </w:t>
      </w:r>
      <w:r w:rsidR="00844F8F">
        <w:t xml:space="preserve">wäre es naheliegend, </w:t>
      </w:r>
      <w:r w:rsidR="00E97D5D">
        <w:t xml:space="preserve">von einer relativ späten Abfassung der </w:t>
      </w:r>
      <w:r>
        <w:t xml:space="preserve">Evangelien </w:t>
      </w:r>
      <w:r w:rsidR="00E97D5D">
        <w:t>aus</w:t>
      </w:r>
      <w:r w:rsidR="00844F8F">
        <w:t>zu</w:t>
      </w:r>
      <w:r w:rsidR="00E97D5D">
        <w:t xml:space="preserve">gehen </w:t>
      </w:r>
      <w:r>
        <w:t>–</w:t>
      </w:r>
      <w:r w:rsidR="00E97D5D">
        <w:t xml:space="preserve"> in den ersten Jahren </w:t>
      </w:r>
      <w:r w:rsidR="00844F8F">
        <w:t xml:space="preserve">wäre </w:t>
      </w:r>
      <w:r w:rsidR="009E4F43">
        <w:t xml:space="preserve">eine </w:t>
      </w:r>
      <w:r>
        <w:t>schriftliche Fixierung unnötig</w:t>
      </w:r>
      <w:r w:rsidR="00844F8F">
        <w:t xml:space="preserve"> gewesen</w:t>
      </w:r>
      <w:r>
        <w:t xml:space="preserve">, </w:t>
      </w:r>
      <w:r w:rsidR="00E97D5D">
        <w:t>weil</w:t>
      </w:r>
      <w:r>
        <w:t xml:space="preserve"> man </w:t>
      </w:r>
      <w:r w:rsidR="00E97D5D">
        <w:t xml:space="preserve">ja </w:t>
      </w:r>
      <w:r>
        <w:t xml:space="preserve">mit dem „morgigen“ Ende der Welt </w:t>
      </w:r>
      <w:r w:rsidR="009E4F43">
        <w:t>rechnete</w:t>
      </w:r>
      <w:r>
        <w:t>.</w:t>
      </w:r>
    </w:p>
    <w:p w14:paraId="6A3DE7D6" w14:textId="1F179461" w:rsidR="00E97D5D" w:rsidRDefault="005433F1" w:rsidP="00B95EA3">
      <w:r>
        <w:t xml:space="preserve">Wenn die Evangelien </w:t>
      </w:r>
      <w:r w:rsidR="00E97D5D">
        <w:t xml:space="preserve">jedoch </w:t>
      </w:r>
      <w:r>
        <w:t>erst spät</w:t>
      </w:r>
      <w:r w:rsidR="00E97D5D">
        <w:t>er</w:t>
      </w:r>
      <w:r>
        <w:t xml:space="preserve"> geschrieben wurden – als </w:t>
      </w:r>
      <w:r w:rsidR="00E97D5D">
        <w:t>Folge des</w:t>
      </w:r>
      <w:r>
        <w:t xml:space="preserve"> Ausbleiben</w:t>
      </w:r>
      <w:r w:rsidR="00E97D5D">
        <w:t>s</w:t>
      </w:r>
      <w:r>
        <w:t xml:space="preserve"> der Wiederkunft Christi – dann </w:t>
      </w:r>
      <w:r w:rsidR="00E97D5D">
        <w:t>wäre wiederum</w:t>
      </w:r>
      <w:r>
        <w:t xml:space="preserve"> unklar, warum </w:t>
      </w:r>
      <w:r w:rsidR="009E4F43">
        <w:t>die</w:t>
      </w:r>
      <w:r>
        <w:t xml:space="preserve"> </w:t>
      </w:r>
      <w:r w:rsidR="00E97D5D">
        <w:t>Evangelisten</w:t>
      </w:r>
      <w:r>
        <w:t xml:space="preserve"> </w:t>
      </w:r>
      <w:r w:rsidR="009E4F43">
        <w:t xml:space="preserve">die </w:t>
      </w:r>
      <w:r w:rsidR="00844F8F">
        <w:t xml:space="preserve">(scheinbar falschen) </w:t>
      </w:r>
      <w:r>
        <w:t xml:space="preserve">Aussagen </w:t>
      </w:r>
      <w:r w:rsidR="009E4F43">
        <w:t xml:space="preserve">Jesu </w:t>
      </w:r>
      <w:r>
        <w:t xml:space="preserve">über </w:t>
      </w:r>
      <w:r w:rsidR="00844F8F">
        <w:t xml:space="preserve">seine </w:t>
      </w:r>
      <w:r w:rsidR="009E4F43">
        <w:t>baldige Wiederkunft</w:t>
      </w:r>
      <w:r>
        <w:t xml:space="preserve"> </w:t>
      </w:r>
      <w:r w:rsidR="00844F8F">
        <w:t xml:space="preserve">überhaupt noch </w:t>
      </w:r>
      <w:r w:rsidR="00E97D5D">
        <w:t>berichtet haben</w:t>
      </w:r>
      <w:r>
        <w:t>. Gerade die</w:t>
      </w:r>
      <w:r w:rsidR="00E97D5D">
        <w:t>se</w:t>
      </w:r>
      <w:r>
        <w:t xml:space="preserve"> </w:t>
      </w:r>
      <w:r w:rsidR="009E4F43">
        <w:t>Naherwartungss</w:t>
      </w:r>
      <w:r>
        <w:t xml:space="preserve">tellen </w:t>
      </w:r>
      <w:r w:rsidR="00844F8F">
        <w:t>in den Evan</w:t>
      </w:r>
      <w:bookmarkStart w:id="0" w:name="_GoBack"/>
      <w:bookmarkEnd w:id="0"/>
      <w:r w:rsidR="00844F8F">
        <w:t xml:space="preserve">gelien </w:t>
      </w:r>
      <w:r w:rsidR="00E97D5D">
        <w:t>legen nahe</w:t>
      </w:r>
      <w:r>
        <w:t xml:space="preserve">, dass </w:t>
      </w:r>
      <w:r w:rsidR="00844F8F">
        <w:t>die Texte zu</w:t>
      </w:r>
      <w:r>
        <w:t xml:space="preserve"> eine</w:t>
      </w:r>
      <w:r w:rsidR="00E97D5D">
        <w:t>r</w:t>
      </w:r>
      <w:r>
        <w:t xml:space="preserve"> Zeit geschrieben </w:t>
      </w:r>
      <w:r w:rsidR="009E4F43">
        <w:t>wurde</w:t>
      </w:r>
      <w:r w:rsidR="00E97D5D">
        <w:t>n</w:t>
      </w:r>
      <w:r>
        <w:t xml:space="preserve">, </w:t>
      </w:r>
      <w:r w:rsidR="009E4F43">
        <w:t>als</w:t>
      </w:r>
      <w:r>
        <w:t xml:space="preserve"> eine </w:t>
      </w:r>
      <w:r w:rsidR="00844F8F">
        <w:t>baldige Wiederkunft</w:t>
      </w:r>
      <w:r>
        <w:t xml:space="preserve"> noch möglich war. </w:t>
      </w:r>
      <w:r w:rsidR="00E97D5D">
        <w:t>Damit wäre</w:t>
      </w:r>
      <w:r w:rsidR="009E4F43">
        <w:t xml:space="preserve"> </w:t>
      </w:r>
      <w:r w:rsidR="00844F8F">
        <w:t xml:space="preserve">also </w:t>
      </w:r>
      <w:r w:rsidR="00E97D5D">
        <w:t xml:space="preserve">doch eher </w:t>
      </w:r>
      <w:r w:rsidR="00844F8F">
        <w:t>eine</w:t>
      </w:r>
      <w:r w:rsidR="009E4F43">
        <w:t xml:space="preserve"> Frühdatierung der Evangelien </w:t>
      </w:r>
      <w:r w:rsidR="00844F8F">
        <w:t>wahrscheinlich</w:t>
      </w:r>
      <w:r w:rsidR="009E4F43">
        <w:t>.</w:t>
      </w:r>
      <w:r w:rsidR="00E97D5D">
        <w:t xml:space="preserve"> Genau diese ist aber – wie oben gesehen – </w:t>
      </w:r>
      <w:r w:rsidR="00435BC0">
        <w:t xml:space="preserve">im Fall </w:t>
      </w:r>
      <w:r w:rsidR="00E97D5D">
        <w:t>einer Naherwartung</w:t>
      </w:r>
      <w:r w:rsidR="00844F8F">
        <w:t xml:space="preserve"> gerade </w:t>
      </w:r>
      <w:r w:rsidR="00E97D5D">
        <w:t>nicht plausibel…</w:t>
      </w:r>
      <w:r w:rsidR="00435BC0">
        <w:t xml:space="preserve"> Eine widersprüchliche Situation</w:t>
      </w:r>
      <w:r w:rsidR="00844F8F">
        <w:t>.</w:t>
      </w:r>
    </w:p>
    <w:p w14:paraId="1481DA86" w14:textId="06B5B6B3" w:rsidR="006B5877" w:rsidRDefault="00B348DF" w:rsidP="00B95EA3">
      <w:r>
        <w:t xml:space="preserve">Die Lösung: Die Urkirche war sich von Anfang an bewusst, dass man über das genaue Ende der Welt keine zeitlichen Angaben machen konnte. </w:t>
      </w:r>
      <w:r w:rsidR="00844F8F">
        <w:t>Jesus</w:t>
      </w:r>
      <w:r w:rsidR="009E4F43">
        <w:t xml:space="preserve"> hatte es </w:t>
      </w:r>
      <w:r w:rsidR="00844F8F">
        <w:t xml:space="preserve">schließlich </w:t>
      </w:r>
      <w:r w:rsidR="009E4F43">
        <w:t>oft genug betont.</w:t>
      </w:r>
    </w:p>
    <w:p w14:paraId="529D774B" w14:textId="77777777" w:rsidR="002709B3" w:rsidRDefault="002709B3" w:rsidP="00B95EA3"/>
    <w:p w14:paraId="7DF66794" w14:textId="235C7B03" w:rsidR="002709B3" w:rsidRDefault="00D02F21" w:rsidP="00D02F21">
      <w:pPr>
        <w:pBdr>
          <w:top w:val="single" w:sz="4" w:space="1" w:color="auto"/>
        </w:pBdr>
      </w:pPr>
      <w:r>
        <w:rPr>
          <w:b/>
        </w:rPr>
        <w:t>Literaturtipp</w:t>
      </w:r>
    </w:p>
    <w:p w14:paraId="70F08688" w14:textId="0DBAA5BD" w:rsidR="002709B3" w:rsidRPr="002709B3" w:rsidRDefault="002709B3" w:rsidP="00B95EA3">
      <w:r>
        <w:t xml:space="preserve">Karl Jaros, </w:t>
      </w:r>
      <w:r>
        <w:rPr>
          <w:i/>
        </w:rPr>
        <w:t>Das Neue Testament und seine Autoren. Eine Einführung</w:t>
      </w:r>
      <w:r>
        <w:t xml:space="preserve">, Böhlau Verlag: Köln – Weimar – Wien 2008, besonders </w:t>
      </w:r>
      <w:r w:rsidR="00D02F21">
        <w:t xml:space="preserve">S. </w:t>
      </w:r>
      <w:r>
        <w:t>13-34.</w:t>
      </w:r>
    </w:p>
    <w:sectPr w:rsidR="002709B3" w:rsidRPr="002709B3" w:rsidSect="000254C0">
      <w:footerReference w:type="even" r:id="rId9"/>
      <w:footerReference w:type="default" r:id="rId10"/>
      <w:pgSz w:w="11906" w:h="16838"/>
      <w:pgMar w:top="1276" w:right="1417" w:bottom="993"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FCD8F" w14:textId="77777777" w:rsidR="00EE3576" w:rsidRDefault="00EE3576" w:rsidP="000254C0">
      <w:r>
        <w:separator/>
      </w:r>
    </w:p>
  </w:endnote>
  <w:endnote w:type="continuationSeparator" w:id="0">
    <w:p w14:paraId="491C872A" w14:textId="77777777" w:rsidR="00EE3576" w:rsidRDefault="00EE3576" w:rsidP="0002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eek">
    <w:panose1 w:val="000005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43D18" w14:textId="77777777" w:rsidR="000254C0" w:rsidRDefault="000254C0" w:rsidP="00DE71D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327EBF7" w14:textId="77777777" w:rsidR="000254C0" w:rsidRDefault="000254C0" w:rsidP="000254C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0ABDF" w14:textId="77777777" w:rsidR="000254C0" w:rsidRDefault="000254C0" w:rsidP="00DE71D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2ECACABE" w14:textId="77777777" w:rsidR="000254C0" w:rsidRDefault="000254C0" w:rsidP="000254C0">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8A07E" w14:textId="77777777" w:rsidR="00EE3576" w:rsidRDefault="00EE3576" w:rsidP="000254C0">
      <w:r>
        <w:separator/>
      </w:r>
    </w:p>
  </w:footnote>
  <w:footnote w:type="continuationSeparator" w:id="0">
    <w:p w14:paraId="2C65FD7E" w14:textId="77777777" w:rsidR="00EE3576" w:rsidRDefault="00EE3576" w:rsidP="00025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DCAFDA"/>
    <w:lvl w:ilvl="0">
      <w:start w:val="1"/>
      <w:numFmt w:val="decimal"/>
      <w:lvlText w:val="%1."/>
      <w:lvlJc w:val="left"/>
      <w:pPr>
        <w:tabs>
          <w:tab w:val="num" w:pos="1492"/>
        </w:tabs>
        <w:ind w:left="1492" w:hanging="360"/>
      </w:pPr>
    </w:lvl>
  </w:abstractNum>
  <w:abstractNum w:abstractNumId="1">
    <w:nsid w:val="FFFFFF7D"/>
    <w:multiLevelType w:val="singleLevel"/>
    <w:tmpl w:val="F90A8A52"/>
    <w:lvl w:ilvl="0">
      <w:start w:val="1"/>
      <w:numFmt w:val="decimal"/>
      <w:lvlText w:val="%1."/>
      <w:lvlJc w:val="left"/>
      <w:pPr>
        <w:tabs>
          <w:tab w:val="num" w:pos="1209"/>
        </w:tabs>
        <w:ind w:left="1209" w:hanging="360"/>
      </w:pPr>
    </w:lvl>
  </w:abstractNum>
  <w:abstractNum w:abstractNumId="2">
    <w:nsid w:val="FFFFFF7E"/>
    <w:multiLevelType w:val="singleLevel"/>
    <w:tmpl w:val="D242EF38"/>
    <w:lvl w:ilvl="0">
      <w:start w:val="1"/>
      <w:numFmt w:val="decimal"/>
      <w:lvlText w:val="%1."/>
      <w:lvlJc w:val="left"/>
      <w:pPr>
        <w:tabs>
          <w:tab w:val="num" w:pos="926"/>
        </w:tabs>
        <w:ind w:left="926" w:hanging="360"/>
      </w:pPr>
    </w:lvl>
  </w:abstractNum>
  <w:abstractNum w:abstractNumId="3">
    <w:nsid w:val="FFFFFF7F"/>
    <w:multiLevelType w:val="singleLevel"/>
    <w:tmpl w:val="BBE259F0"/>
    <w:lvl w:ilvl="0">
      <w:start w:val="1"/>
      <w:numFmt w:val="decimal"/>
      <w:lvlText w:val="%1."/>
      <w:lvlJc w:val="left"/>
      <w:pPr>
        <w:tabs>
          <w:tab w:val="num" w:pos="643"/>
        </w:tabs>
        <w:ind w:left="643" w:hanging="360"/>
      </w:pPr>
    </w:lvl>
  </w:abstractNum>
  <w:abstractNum w:abstractNumId="4">
    <w:nsid w:val="FFFFFF80"/>
    <w:multiLevelType w:val="singleLevel"/>
    <w:tmpl w:val="A9EC48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DC29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3C47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3E62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F003F0"/>
    <w:lvl w:ilvl="0">
      <w:start w:val="1"/>
      <w:numFmt w:val="decimal"/>
      <w:lvlText w:val="%1."/>
      <w:lvlJc w:val="left"/>
      <w:pPr>
        <w:tabs>
          <w:tab w:val="num" w:pos="360"/>
        </w:tabs>
        <w:ind w:left="360" w:hanging="360"/>
      </w:pPr>
    </w:lvl>
  </w:abstractNum>
  <w:abstractNum w:abstractNumId="9">
    <w:nsid w:val="FFFFFF89"/>
    <w:multiLevelType w:val="singleLevel"/>
    <w:tmpl w:val="1EFC1C72"/>
    <w:lvl w:ilvl="0">
      <w:start w:val="1"/>
      <w:numFmt w:val="bullet"/>
      <w:lvlText w:val=""/>
      <w:lvlJc w:val="left"/>
      <w:pPr>
        <w:tabs>
          <w:tab w:val="num" w:pos="360"/>
        </w:tabs>
        <w:ind w:left="360" w:hanging="360"/>
      </w:pPr>
      <w:rPr>
        <w:rFonts w:ascii="Symbol" w:hAnsi="Symbol" w:hint="default"/>
      </w:rPr>
    </w:lvl>
  </w:abstractNum>
  <w:abstractNum w:abstractNumId="10">
    <w:nsid w:val="23E25BCE"/>
    <w:multiLevelType w:val="singleLevel"/>
    <w:tmpl w:val="6722F7E6"/>
    <w:lvl w:ilvl="0">
      <w:start w:val="1"/>
      <w:numFmt w:val="decimal"/>
      <w:pStyle w:val="Eigen"/>
      <w:lvlText w:val="%1."/>
      <w:lvlJc w:val="left"/>
      <w:pPr>
        <w:tabs>
          <w:tab w:val="num" w:pos="360"/>
        </w:tabs>
        <w:ind w:left="360" w:hanging="360"/>
      </w:pPr>
    </w:lvl>
  </w:abstractNum>
  <w:abstractNum w:abstractNumId="11">
    <w:nsid w:val="321621EF"/>
    <w:multiLevelType w:val="multilevel"/>
    <w:tmpl w:val="3E5E01F2"/>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2">
    <w:nsid w:val="32BA5252"/>
    <w:multiLevelType w:val="hybridMultilevel"/>
    <w:tmpl w:val="F90A75A2"/>
    <w:lvl w:ilvl="0" w:tplc="97588630">
      <w:start w:val="3"/>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F4744C5"/>
    <w:multiLevelType w:val="hybridMultilevel"/>
    <w:tmpl w:val="3DC656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9A57856"/>
    <w:multiLevelType w:val="multilevel"/>
    <w:tmpl w:val="0A0A890C"/>
    <w:lvl w:ilvl="0">
      <w:start w:val="1"/>
      <w:numFmt w:val="decimal"/>
      <w:lvlText w:val="%1."/>
      <w:lvlJc w:val="left"/>
      <w:pPr>
        <w:tabs>
          <w:tab w:val="num" w:pos="1494"/>
        </w:tabs>
        <w:ind w:left="1494" w:hanging="360"/>
      </w:pPr>
    </w:lvl>
    <w:lvl w:ilvl="1">
      <w:start w:val="1"/>
      <w:numFmt w:val="decimal"/>
      <w:lvlText w:val="%1.%2."/>
      <w:lvlJc w:val="left"/>
      <w:pPr>
        <w:tabs>
          <w:tab w:val="num" w:pos="1926"/>
        </w:tabs>
        <w:ind w:left="1926" w:hanging="432"/>
      </w:pPr>
    </w:lvl>
    <w:lvl w:ilvl="2">
      <w:start w:val="1"/>
      <w:numFmt w:val="decimal"/>
      <w:lvlText w:val="%1.%2.%3."/>
      <w:lvlJc w:val="left"/>
      <w:pPr>
        <w:tabs>
          <w:tab w:val="num" w:pos="2358"/>
        </w:tabs>
        <w:ind w:left="2358" w:hanging="504"/>
      </w:pPr>
    </w:lvl>
    <w:lvl w:ilvl="3">
      <w:start w:val="1"/>
      <w:numFmt w:val="decimal"/>
      <w:lvlText w:val="%1.%2.%3.%4."/>
      <w:lvlJc w:val="left"/>
      <w:pPr>
        <w:tabs>
          <w:tab w:val="num" w:pos="2862"/>
        </w:tabs>
        <w:ind w:left="2862" w:hanging="648"/>
      </w:pPr>
    </w:lvl>
    <w:lvl w:ilvl="4">
      <w:start w:val="1"/>
      <w:numFmt w:val="decimal"/>
      <w:lvlText w:val="%1.%2.%3.%4.%5."/>
      <w:lvlJc w:val="left"/>
      <w:pPr>
        <w:tabs>
          <w:tab w:val="num" w:pos="3366"/>
        </w:tabs>
        <w:ind w:left="3366" w:hanging="792"/>
      </w:pPr>
    </w:lvl>
    <w:lvl w:ilvl="5">
      <w:start w:val="1"/>
      <w:numFmt w:val="decimal"/>
      <w:lvlText w:val="%1.%2.%3.%4.%5.%6."/>
      <w:lvlJc w:val="left"/>
      <w:pPr>
        <w:tabs>
          <w:tab w:val="num" w:pos="3870"/>
        </w:tabs>
        <w:ind w:left="3870" w:hanging="936"/>
      </w:pPr>
    </w:lvl>
    <w:lvl w:ilvl="6">
      <w:start w:val="1"/>
      <w:numFmt w:val="decimal"/>
      <w:lvlText w:val="%1.%2.%3.%4.%5.%6.%7."/>
      <w:lvlJc w:val="left"/>
      <w:pPr>
        <w:tabs>
          <w:tab w:val="num" w:pos="4374"/>
        </w:tabs>
        <w:ind w:left="4374" w:hanging="1080"/>
      </w:pPr>
    </w:lvl>
    <w:lvl w:ilvl="7">
      <w:start w:val="1"/>
      <w:numFmt w:val="decimal"/>
      <w:lvlText w:val="%1.%2.%3.%4.%5.%6.%7.%8."/>
      <w:lvlJc w:val="left"/>
      <w:pPr>
        <w:tabs>
          <w:tab w:val="num" w:pos="4878"/>
        </w:tabs>
        <w:ind w:left="4878" w:hanging="1224"/>
      </w:pPr>
    </w:lvl>
    <w:lvl w:ilvl="8">
      <w:start w:val="1"/>
      <w:numFmt w:val="decimal"/>
      <w:lvlText w:val="%1.%2.%3.%4.%5.%6.%7.%8.%9."/>
      <w:lvlJc w:val="left"/>
      <w:pPr>
        <w:tabs>
          <w:tab w:val="num" w:pos="5454"/>
        </w:tabs>
        <w:ind w:left="5454" w:hanging="1440"/>
      </w:pPr>
    </w:lvl>
  </w:abstractNum>
  <w:abstractNum w:abstractNumId="15">
    <w:nsid w:val="545919F7"/>
    <w:multiLevelType w:val="hybridMultilevel"/>
    <w:tmpl w:val="B57E40F4"/>
    <w:lvl w:ilvl="0" w:tplc="341EE272">
      <w:start w:val="1"/>
      <w:numFmt w:val="lowerLetter"/>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6">
    <w:nsid w:val="6096222A"/>
    <w:multiLevelType w:val="multilevel"/>
    <w:tmpl w:val="21ECA4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6CE8568B"/>
    <w:multiLevelType w:val="hybridMultilevel"/>
    <w:tmpl w:val="101EA3C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14"/>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3"/>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38"/>
    <w:rsid w:val="00003EC1"/>
    <w:rsid w:val="0001084C"/>
    <w:rsid w:val="0002387C"/>
    <w:rsid w:val="000254C0"/>
    <w:rsid w:val="00063124"/>
    <w:rsid w:val="00076903"/>
    <w:rsid w:val="00076B93"/>
    <w:rsid w:val="000C6E42"/>
    <w:rsid w:val="00102294"/>
    <w:rsid w:val="00106FB7"/>
    <w:rsid w:val="00146DF6"/>
    <w:rsid w:val="00163D96"/>
    <w:rsid w:val="00195E69"/>
    <w:rsid w:val="001C3B59"/>
    <w:rsid w:val="001D0FEF"/>
    <w:rsid w:val="001E71B3"/>
    <w:rsid w:val="00207981"/>
    <w:rsid w:val="00230DB4"/>
    <w:rsid w:val="0024120C"/>
    <w:rsid w:val="002709B3"/>
    <w:rsid w:val="00275097"/>
    <w:rsid w:val="00280C76"/>
    <w:rsid w:val="0028579F"/>
    <w:rsid w:val="002B0589"/>
    <w:rsid w:val="002B4517"/>
    <w:rsid w:val="002B4FED"/>
    <w:rsid w:val="002D7DA8"/>
    <w:rsid w:val="002E3294"/>
    <w:rsid w:val="002E5889"/>
    <w:rsid w:val="00303EF5"/>
    <w:rsid w:val="00311702"/>
    <w:rsid w:val="003141BF"/>
    <w:rsid w:val="00320C11"/>
    <w:rsid w:val="00325CB2"/>
    <w:rsid w:val="0034647C"/>
    <w:rsid w:val="003774E2"/>
    <w:rsid w:val="003C40EE"/>
    <w:rsid w:val="003C6895"/>
    <w:rsid w:val="004306A5"/>
    <w:rsid w:val="00435BC0"/>
    <w:rsid w:val="00447632"/>
    <w:rsid w:val="00450F0A"/>
    <w:rsid w:val="00470AE2"/>
    <w:rsid w:val="00474ADF"/>
    <w:rsid w:val="00480E92"/>
    <w:rsid w:val="00483DB5"/>
    <w:rsid w:val="004A23CE"/>
    <w:rsid w:val="004A433C"/>
    <w:rsid w:val="004A5EF1"/>
    <w:rsid w:val="004C3413"/>
    <w:rsid w:val="004C68F7"/>
    <w:rsid w:val="00502923"/>
    <w:rsid w:val="005113D5"/>
    <w:rsid w:val="00513D03"/>
    <w:rsid w:val="00524834"/>
    <w:rsid w:val="00536A13"/>
    <w:rsid w:val="00537108"/>
    <w:rsid w:val="0054121F"/>
    <w:rsid w:val="00541922"/>
    <w:rsid w:val="005433F1"/>
    <w:rsid w:val="0055778B"/>
    <w:rsid w:val="00564521"/>
    <w:rsid w:val="00566CF5"/>
    <w:rsid w:val="00571350"/>
    <w:rsid w:val="005728E1"/>
    <w:rsid w:val="00581963"/>
    <w:rsid w:val="00583743"/>
    <w:rsid w:val="005A46CB"/>
    <w:rsid w:val="005B193C"/>
    <w:rsid w:val="005D39C0"/>
    <w:rsid w:val="005F33AA"/>
    <w:rsid w:val="005F6489"/>
    <w:rsid w:val="00604878"/>
    <w:rsid w:val="006377E1"/>
    <w:rsid w:val="00637E9A"/>
    <w:rsid w:val="00641A48"/>
    <w:rsid w:val="006433A4"/>
    <w:rsid w:val="00654619"/>
    <w:rsid w:val="006A5995"/>
    <w:rsid w:val="006B5877"/>
    <w:rsid w:val="006C0967"/>
    <w:rsid w:val="006D4539"/>
    <w:rsid w:val="006E0D6D"/>
    <w:rsid w:val="006F051F"/>
    <w:rsid w:val="007017E3"/>
    <w:rsid w:val="0071235A"/>
    <w:rsid w:val="00716E7A"/>
    <w:rsid w:val="007262A9"/>
    <w:rsid w:val="00733C7D"/>
    <w:rsid w:val="00763E46"/>
    <w:rsid w:val="0077456A"/>
    <w:rsid w:val="00776288"/>
    <w:rsid w:val="007B6BCF"/>
    <w:rsid w:val="007D6170"/>
    <w:rsid w:val="007F758E"/>
    <w:rsid w:val="008401AE"/>
    <w:rsid w:val="00844F8F"/>
    <w:rsid w:val="008470BF"/>
    <w:rsid w:val="00865270"/>
    <w:rsid w:val="008A7C38"/>
    <w:rsid w:val="008C3BD0"/>
    <w:rsid w:val="009032EF"/>
    <w:rsid w:val="009453DC"/>
    <w:rsid w:val="00964AFF"/>
    <w:rsid w:val="009812F3"/>
    <w:rsid w:val="00993605"/>
    <w:rsid w:val="009A1E19"/>
    <w:rsid w:val="009A2FF5"/>
    <w:rsid w:val="009E4F43"/>
    <w:rsid w:val="009F1BCD"/>
    <w:rsid w:val="009F6519"/>
    <w:rsid w:val="00A0351D"/>
    <w:rsid w:val="00A4561C"/>
    <w:rsid w:val="00A5494B"/>
    <w:rsid w:val="00A60E8F"/>
    <w:rsid w:val="00A62ADC"/>
    <w:rsid w:val="00A86A3C"/>
    <w:rsid w:val="00AE629A"/>
    <w:rsid w:val="00AF62D4"/>
    <w:rsid w:val="00B21174"/>
    <w:rsid w:val="00B32F0B"/>
    <w:rsid w:val="00B348DF"/>
    <w:rsid w:val="00B46EE7"/>
    <w:rsid w:val="00B5314B"/>
    <w:rsid w:val="00B5474B"/>
    <w:rsid w:val="00B60A70"/>
    <w:rsid w:val="00B617E7"/>
    <w:rsid w:val="00B67FFB"/>
    <w:rsid w:val="00B714D0"/>
    <w:rsid w:val="00B93B39"/>
    <w:rsid w:val="00B95EA3"/>
    <w:rsid w:val="00BA4586"/>
    <w:rsid w:val="00BF6711"/>
    <w:rsid w:val="00C05AF4"/>
    <w:rsid w:val="00C14EAC"/>
    <w:rsid w:val="00C276C4"/>
    <w:rsid w:val="00C40520"/>
    <w:rsid w:val="00C52A66"/>
    <w:rsid w:val="00C60A88"/>
    <w:rsid w:val="00C620B4"/>
    <w:rsid w:val="00C65588"/>
    <w:rsid w:val="00C82C7F"/>
    <w:rsid w:val="00CA0F18"/>
    <w:rsid w:val="00CB1457"/>
    <w:rsid w:val="00CB14D1"/>
    <w:rsid w:val="00CB4CD8"/>
    <w:rsid w:val="00CE412C"/>
    <w:rsid w:val="00CF3C91"/>
    <w:rsid w:val="00D024BC"/>
    <w:rsid w:val="00D02F21"/>
    <w:rsid w:val="00D04749"/>
    <w:rsid w:val="00D1130C"/>
    <w:rsid w:val="00D177BA"/>
    <w:rsid w:val="00D20404"/>
    <w:rsid w:val="00D2184F"/>
    <w:rsid w:val="00D27ACE"/>
    <w:rsid w:val="00D32C04"/>
    <w:rsid w:val="00D51842"/>
    <w:rsid w:val="00D61A67"/>
    <w:rsid w:val="00D80C00"/>
    <w:rsid w:val="00D81EF9"/>
    <w:rsid w:val="00D84F02"/>
    <w:rsid w:val="00DB6BCF"/>
    <w:rsid w:val="00DC67AF"/>
    <w:rsid w:val="00DC7842"/>
    <w:rsid w:val="00DE2C30"/>
    <w:rsid w:val="00E1118F"/>
    <w:rsid w:val="00E20A26"/>
    <w:rsid w:val="00E2482D"/>
    <w:rsid w:val="00E40A08"/>
    <w:rsid w:val="00E41D4C"/>
    <w:rsid w:val="00E77257"/>
    <w:rsid w:val="00E8155F"/>
    <w:rsid w:val="00E95006"/>
    <w:rsid w:val="00E96E03"/>
    <w:rsid w:val="00E97D5D"/>
    <w:rsid w:val="00EB3595"/>
    <w:rsid w:val="00EC06D2"/>
    <w:rsid w:val="00EC2434"/>
    <w:rsid w:val="00EE3576"/>
    <w:rsid w:val="00F17639"/>
    <w:rsid w:val="00F34D42"/>
    <w:rsid w:val="00F45BE3"/>
    <w:rsid w:val="00F72575"/>
    <w:rsid w:val="00FF3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4391C"/>
  <w15:docId w15:val="{8B1B7E4D-CCDD-44D0-8DB8-8D74ACC2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4CD8"/>
    <w:pPr>
      <w:jc w:val="both"/>
    </w:pPr>
    <w:rPr>
      <w:rFonts w:ascii="Calibri" w:hAnsi="Calibri"/>
      <w:sz w:val="22"/>
      <w:lang w:eastAsia="en-US"/>
    </w:rPr>
  </w:style>
  <w:style w:type="paragraph" w:styleId="berschrift1">
    <w:name w:val="heading 1"/>
    <w:basedOn w:val="Standard"/>
    <w:next w:val="Standard"/>
    <w:qFormat/>
    <w:rsid w:val="00C276C4"/>
    <w:pPr>
      <w:keepNext/>
      <w:outlineLvl w:val="0"/>
    </w:pPr>
    <w:rPr>
      <w:rFonts w:cs="Arial"/>
      <w:b/>
      <w:bCs/>
      <w:kern w:val="32"/>
      <w:sz w:val="28"/>
      <w:szCs w:val="32"/>
    </w:rPr>
  </w:style>
  <w:style w:type="paragraph" w:styleId="berschrift2">
    <w:name w:val="heading 2"/>
    <w:basedOn w:val="Standard"/>
    <w:next w:val="Standard"/>
    <w:qFormat/>
    <w:rsid w:val="002E5889"/>
    <w:pPr>
      <w:keepNext/>
      <w:outlineLvl w:val="1"/>
    </w:pPr>
    <w:rPr>
      <w:rFonts w:cs="Arial"/>
      <w:b/>
      <w:bCs/>
      <w:iCs/>
      <w:sz w:val="26"/>
      <w:szCs w:val="28"/>
    </w:rPr>
  </w:style>
  <w:style w:type="paragraph" w:styleId="berschrift3">
    <w:name w:val="heading 3"/>
    <w:basedOn w:val="Standard"/>
    <w:next w:val="Standard"/>
    <w:autoRedefine/>
    <w:qFormat/>
    <w:rsid w:val="002E5889"/>
    <w:pPr>
      <w:keepNext/>
      <w:outlineLvl w:val="2"/>
    </w:pPr>
    <w:rPr>
      <w:rFonts w:cs="Arial"/>
      <w:b/>
      <w:bCs/>
      <w:sz w:val="26"/>
      <w:szCs w:val="24"/>
    </w:rPr>
  </w:style>
  <w:style w:type="paragraph" w:styleId="berschrift4">
    <w:name w:val="heading 4"/>
    <w:basedOn w:val="Standard"/>
    <w:next w:val="Standard"/>
    <w:qFormat/>
    <w:rsid w:val="002E5889"/>
    <w:pPr>
      <w:keepNext/>
      <w:outlineLvl w:val="3"/>
    </w:pPr>
    <w:rPr>
      <w:b/>
      <w:bCs/>
      <w:sz w:val="25"/>
      <w:szCs w:val="24"/>
    </w:rPr>
  </w:style>
  <w:style w:type="paragraph" w:styleId="berschrift5">
    <w:name w:val="heading 5"/>
    <w:basedOn w:val="Standard"/>
    <w:next w:val="Standard"/>
    <w:qFormat/>
    <w:rsid w:val="002E5889"/>
    <w:pPr>
      <w:outlineLvl w:val="4"/>
    </w:pPr>
    <w:rPr>
      <w:b/>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gen">
    <w:name w:val="Eigen"/>
    <w:basedOn w:val="Standard"/>
    <w:pPr>
      <w:numPr>
        <w:numId w:val="1"/>
      </w:numPr>
      <w:pBdr>
        <w:top w:val="single" w:sz="2" w:space="1" w:color="auto"/>
      </w:pBdr>
      <w:spacing w:before="120" w:after="60"/>
    </w:pPr>
    <w:rPr>
      <w:b/>
    </w:rPr>
  </w:style>
  <w:style w:type="paragraph" w:styleId="Dokumentstruktur">
    <w:name w:val="Document Map"/>
    <w:basedOn w:val="Standard"/>
    <w:rsid w:val="009032EF"/>
    <w:pPr>
      <w:shd w:val="clear" w:color="auto" w:fill="000080"/>
    </w:pPr>
    <w:rPr>
      <w:rFonts w:ascii="Arial" w:hAnsi="Arial" w:cs="Tahoma"/>
      <w:sz w:val="20"/>
    </w:rPr>
  </w:style>
  <w:style w:type="paragraph" w:customStyle="1" w:styleId="Block">
    <w:name w:val="Block"/>
    <w:basedOn w:val="Standard"/>
    <w:rsid w:val="00F45BE3"/>
    <w:pPr>
      <w:spacing w:before="360" w:after="360"/>
      <w:ind w:left="737"/>
    </w:pPr>
  </w:style>
  <w:style w:type="paragraph" w:styleId="Listenabsatz">
    <w:name w:val="List Paragraph"/>
    <w:basedOn w:val="Standard"/>
    <w:uiPriority w:val="34"/>
    <w:qFormat/>
    <w:rsid w:val="00063124"/>
    <w:pPr>
      <w:ind w:left="720"/>
      <w:contextualSpacing/>
    </w:pPr>
  </w:style>
  <w:style w:type="character" w:styleId="Kommentarzeichen">
    <w:name w:val="annotation reference"/>
    <w:basedOn w:val="Absatz-Standardschriftart"/>
    <w:uiPriority w:val="99"/>
    <w:semiHidden/>
    <w:unhideWhenUsed/>
    <w:rsid w:val="0028579F"/>
    <w:rPr>
      <w:sz w:val="16"/>
      <w:szCs w:val="16"/>
    </w:rPr>
  </w:style>
  <w:style w:type="paragraph" w:styleId="Kommentartext">
    <w:name w:val="annotation text"/>
    <w:basedOn w:val="Standard"/>
    <w:link w:val="KommentartextZchn"/>
    <w:uiPriority w:val="99"/>
    <w:semiHidden/>
    <w:unhideWhenUsed/>
    <w:rsid w:val="0028579F"/>
    <w:rPr>
      <w:sz w:val="20"/>
    </w:rPr>
  </w:style>
  <w:style w:type="character" w:customStyle="1" w:styleId="KommentartextZchn">
    <w:name w:val="Kommentartext Zchn"/>
    <w:basedOn w:val="Absatz-Standardschriftart"/>
    <w:link w:val="Kommentartext"/>
    <w:uiPriority w:val="99"/>
    <w:semiHidden/>
    <w:rsid w:val="0028579F"/>
    <w:rPr>
      <w:rFonts w:ascii="Calibri" w:hAnsi="Calibri"/>
      <w:lang w:eastAsia="en-US"/>
    </w:rPr>
  </w:style>
  <w:style w:type="paragraph" w:styleId="Kommentarthema">
    <w:name w:val="annotation subject"/>
    <w:basedOn w:val="Kommentartext"/>
    <w:next w:val="Kommentartext"/>
    <w:link w:val="KommentarthemaZchn"/>
    <w:uiPriority w:val="99"/>
    <w:semiHidden/>
    <w:unhideWhenUsed/>
    <w:rsid w:val="0028579F"/>
    <w:rPr>
      <w:b/>
      <w:bCs/>
    </w:rPr>
  </w:style>
  <w:style w:type="character" w:customStyle="1" w:styleId="KommentarthemaZchn">
    <w:name w:val="Kommentarthema Zchn"/>
    <w:basedOn w:val="KommentartextZchn"/>
    <w:link w:val="Kommentarthema"/>
    <w:uiPriority w:val="99"/>
    <w:semiHidden/>
    <w:rsid w:val="0028579F"/>
    <w:rPr>
      <w:rFonts w:ascii="Calibri" w:hAnsi="Calibri"/>
      <w:b/>
      <w:bCs/>
      <w:lang w:eastAsia="en-US"/>
    </w:rPr>
  </w:style>
  <w:style w:type="paragraph" w:styleId="Sprechblasentext">
    <w:name w:val="Balloon Text"/>
    <w:basedOn w:val="Standard"/>
    <w:link w:val="SprechblasentextZchn"/>
    <w:uiPriority w:val="99"/>
    <w:semiHidden/>
    <w:unhideWhenUsed/>
    <w:rsid w:val="0028579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579F"/>
    <w:rPr>
      <w:rFonts w:ascii="Tahoma" w:hAnsi="Tahoma" w:cs="Tahoma"/>
      <w:sz w:val="16"/>
      <w:szCs w:val="16"/>
      <w:lang w:eastAsia="en-US"/>
    </w:rPr>
  </w:style>
  <w:style w:type="paragraph" w:styleId="Fuzeile">
    <w:name w:val="footer"/>
    <w:basedOn w:val="Standard"/>
    <w:link w:val="FuzeileZchn"/>
    <w:uiPriority w:val="99"/>
    <w:unhideWhenUsed/>
    <w:rsid w:val="000254C0"/>
    <w:pPr>
      <w:tabs>
        <w:tab w:val="center" w:pos="4536"/>
        <w:tab w:val="right" w:pos="9072"/>
      </w:tabs>
    </w:pPr>
  </w:style>
  <w:style w:type="character" w:customStyle="1" w:styleId="FuzeileZchn">
    <w:name w:val="Fußzeile Zchn"/>
    <w:basedOn w:val="Absatz-Standardschriftart"/>
    <w:link w:val="Fuzeile"/>
    <w:uiPriority w:val="99"/>
    <w:rsid w:val="000254C0"/>
    <w:rPr>
      <w:rFonts w:ascii="Calibri" w:hAnsi="Calibri"/>
      <w:sz w:val="22"/>
      <w:lang w:eastAsia="en-US"/>
    </w:rPr>
  </w:style>
  <w:style w:type="character" w:styleId="Seitenzahl">
    <w:name w:val="page number"/>
    <w:basedOn w:val="Absatz-Standardschriftart"/>
    <w:uiPriority w:val="99"/>
    <w:semiHidden/>
    <w:unhideWhenUsed/>
    <w:rsid w:val="00025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D65F-C8C1-4770-BA52-41D43522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1450</Words>
  <Characters>9136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MChristoph</dc:creator>
  <cp:lastModifiedBy>Windows User</cp:lastModifiedBy>
  <cp:revision>10</cp:revision>
  <dcterms:created xsi:type="dcterms:W3CDTF">2016-04-19T13:36:00Z</dcterms:created>
  <dcterms:modified xsi:type="dcterms:W3CDTF">2018-08-29T18:36:00Z</dcterms:modified>
</cp:coreProperties>
</file>