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8F" w:rsidRPr="00001C22" w:rsidRDefault="0018680D" w:rsidP="00001C22">
      <w:pPr>
        <w:jc w:val="center"/>
        <w:outlineLvl w:val="0"/>
        <w:rPr>
          <w:rFonts w:ascii="Calibri" w:hAnsi="Calibri"/>
          <w:b/>
          <w:sz w:val="32"/>
        </w:rPr>
      </w:pPr>
      <w:bookmarkStart w:id="0" w:name="_GoBack"/>
      <w:r w:rsidRPr="0018680D">
        <w:rPr>
          <w:rFonts w:ascii="Calibri" w:hAnsi="Calibri"/>
          <w:b/>
          <w:noProof/>
          <w:sz w:val="32"/>
          <w:lang w:eastAsia="de-DE"/>
        </w:rPr>
        <w:drawing>
          <wp:anchor distT="0" distB="0" distL="114300" distR="114300" simplePos="0" relativeHeight="251658240" behindDoc="1" locked="0" layoutInCell="1" allowOverlap="1">
            <wp:simplePos x="0" y="0"/>
            <wp:positionH relativeFrom="margin">
              <wp:align>left</wp:align>
            </wp:positionH>
            <wp:positionV relativeFrom="page">
              <wp:posOffset>269537</wp:posOffset>
            </wp:positionV>
            <wp:extent cx="5760720" cy="1471930"/>
            <wp:effectExtent l="0" t="0" r="0" b="0"/>
            <wp:wrapTight wrapText="bothSides">
              <wp:wrapPolygon edited="0">
                <wp:start x="0" y="0"/>
                <wp:lineTo x="0" y="21246"/>
                <wp:lineTo x="21500" y="21246"/>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1930"/>
                    </a:xfrm>
                    <a:prstGeom prst="rect">
                      <a:avLst/>
                    </a:prstGeom>
                    <a:noFill/>
                    <a:ln>
                      <a:noFill/>
                    </a:ln>
                  </pic:spPr>
                </pic:pic>
              </a:graphicData>
            </a:graphic>
          </wp:anchor>
        </w:drawing>
      </w:r>
      <w:bookmarkEnd w:id="0"/>
      <w:r w:rsidR="0019468F" w:rsidRPr="00001C22">
        <w:rPr>
          <w:rFonts w:ascii="Calibri" w:hAnsi="Calibri"/>
          <w:b/>
          <w:sz w:val="32"/>
        </w:rPr>
        <w:t>Ihr Katholiken betet ja die Heiligen an...</w:t>
      </w:r>
    </w:p>
    <w:p w:rsidR="0019468F" w:rsidRPr="00001C22" w:rsidRDefault="0019468F">
      <w:pPr>
        <w:jc w:val="both"/>
        <w:rPr>
          <w:rFonts w:ascii="Calibri" w:hAnsi="Calibri"/>
        </w:rPr>
      </w:pPr>
    </w:p>
    <w:p w:rsidR="0019468F" w:rsidRPr="00001C22" w:rsidRDefault="0019468F">
      <w:pPr>
        <w:pStyle w:val="StandardWeb"/>
        <w:spacing w:before="0" w:after="0"/>
        <w:jc w:val="both"/>
        <w:rPr>
          <w:rFonts w:ascii="Calibri" w:hAnsi="Calibri"/>
          <w:i/>
        </w:rPr>
      </w:pPr>
      <w:r w:rsidRPr="00001C22">
        <w:rPr>
          <w:rFonts w:ascii="Calibri" w:hAnsi="Calibri"/>
          <w:b/>
          <w:i/>
          <w:smallCaps/>
        </w:rPr>
        <w:t>Das Problem</w:t>
      </w:r>
      <w:r w:rsidRPr="00001C22">
        <w:rPr>
          <w:rFonts w:ascii="Calibri" w:hAnsi="Calibri"/>
          <w:b/>
          <w:i/>
        </w:rPr>
        <w:t xml:space="preserve">: </w:t>
      </w:r>
      <w:r w:rsidRPr="00001C22">
        <w:rPr>
          <w:rFonts w:ascii="Calibri" w:hAnsi="Calibri"/>
          <w:i/>
        </w:rPr>
        <w:t>Ihr Katholiken stellt in euren Kirchen Bilder von angeblich heiligen Leuten auf und verrichtet Gebete davor. Diese Bräuche sind doch nichts anderes als heidnische Vielgö</w:t>
      </w:r>
      <w:r w:rsidRPr="00001C22">
        <w:rPr>
          <w:rFonts w:ascii="Calibri" w:hAnsi="Calibri"/>
          <w:i/>
        </w:rPr>
        <w:t>t</w:t>
      </w:r>
      <w:r w:rsidRPr="00001C22">
        <w:rPr>
          <w:rFonts w:ascii="Calibri" w:hAnsi="Calibri"/>
          <w:i/>
        </w:rPr>
        <w:t xml:space="preserve">terei und eine Missachtung der Einzigkeit Gottes. Die Internetseite </w:t>
      </w:r>
      <w:r w:rsidRPr="00001C22">
        <w:rPr>
          <w:rFonts w:ascii="Calibri" w:hAnsi="Calibri"/>
          <w:i/>
          <w:noProof/>
        </w:rPr>
        <w:t>www.basisreligion.de</w:t>
      </w:r>
      <w:r w:rsidRPr="00001C22">
        <w:rPr>
          <w:rFonts w:ascii="Calibri" w:hAnsi="Calibri"/>
          <w:i/>
        </w:rPr>
        <w:t xml:space="preserve"> – nach eigenen Angaben „sachlich, kritisch, unabhängig“ – erklärt: „Die Vorstellung, dass Heil</w:t>
      </w:r>
      <w:r w:rsidRPr="00001C22">
        <w:rPr>
          <w:rFonts w:ascii="Calibri" w:hAnsi="Calibri"/>
          <w:i/>
        </w:rPr>
        <w:t>i</w:t>
      </w:r>
      <w:r w:rsidRPr="00001C22">
        <w:rPr>
          <w:rFonts w:ascii="Calibri" w:hAnsi="Calibri"/>
          <w:i/>
        </w:rPr>
        <w:t>ge jetzt bei Gott und so eine Art Fürsprecher für uns sind, zeugt wohl eher von einer heidn</w:t>
      </w:r>
      <w:r w:rsidRPr="00001C22">
        <w:rPr>
          <w:rFonts w:ascii="Calibri" w:hAnsi="Calibri"/>
          <w:i/>
        </w:rPr>
        <w:t>i</w:t>
      </w:r>
      <w:r w:rsidRPr="00001C22">
        <w:rPr>
          <w:rFonts w:ascii="Calibri" w:hAnsi="Calibri"/>
          <w:i/>
        </w:rPr>
        <w:t>schen Vorste</w:t>
      </w:r>
      <w:r w:rsidRPr="00001C22">
        <w:rPr>
          <w:rFonts w:ascii="Calibri" w:hAnsi="Calibri"/>
          <w:i/>
        </w:rPr>
        <w:t>l</w:t>
      </w:r>
      <w:r w:rsidRPr="00001C22">
        <w:rPr>
          <w:rFonts w:ascii="Calibri" w:hAnsi="Calibri"/>
          <w:i/>
        </w:rPr>
        <w:t>lung.“</w:t>
      </w:r>
    </w:p>
    <w:p w:rsidR="0019468F" w:rsidRPr="00001C22" w:rsidRDefault="0019468F">
      <w:pPr>
        <w:jc w:val="both"/>
        <w:rPr>
          <w:rFonts w:ascii="Calibri" w:hAnsi="Calibri"/>
        </w:rPr>
      </w:pPr>
    </w:p>
    <w:p w:rsidR="0019468F" w:rsidRPr="00001C22" w:rsidRDefault="0019468F">
      <w:pPr>
        <w:jc w:val="both"/>
        <w:rPr>
          <w:rFonts w:ascii="Calibri" w:hAnsi="Calibri"/>
          <w:b/>
        </w:rPr>
      </w:pPr>
      <w:r w:rsidRPr="00001C22">
        <w:rPr>
          <w:rFonts w:ascii="Calibri" w:hAnsi="Calibri"/>
          <w:b/>
        </w:rPr>
        <w:t>Die Antwort</w:t>
      </w:r>
      <w:r w:rsidRPr="00001C22">
        <w:rPr>
          <w:rFonts w:ascii="Calibri" w:hAnsi="Calibri"/>
          <w:b/>
          <w:smallCaps/>
        </w:rPr>
        <w:t xml:space="preserve">: </w:t>
      </w:r>
      <w:r w:rsidRPr="00001C22">
        <w:rPr>
          <w:rFonts w:ascii="Calibri" w:hAnsi="Calibri"/>
          <w:b/>
        </w:rPr>
        <w:t>Keine Anbetung, sondern Verehrung und Bitte um Fü</w:t>
      </w:r>
      <w:r w:rsidRPr="00001C22">
        <w:rPr>
          <w:rFonts w:ascii="Calibri" w:hAnsi="Calibri"/>
          <w:b/>
        </w:rPr>
        <w:t>r</w:t>
      </w:r>
      <w:r w:rsidRPr="00001C22">
        <w:rPr>
          <w:rFonts w:ascii="Calibri" w:hAnsi="Calibri"/>
          <w:b/>
        </w:rPr>
        <w:t>bitte</w:t>
      </w:r>
    </w:p>
    <w:p w:rsidR="0019468F" w:rsidRPr="00001C22" w:rsidRDefault="0019468F">
      <w:pPr>
        <w:jc w:val="both"/>
        <w:rPr>
          <w:rFonts w:ascii="Calibri" w:hAnsi="Calibri"/>
        </w:rPr>
      </w:pPr>
      <w:r w:rsidRPr="00001C22">
        <w:rPr>
          <w:rFonts w:ascii="Calibri" w:hAnsi="Calibri"/>
        </w:rPr>
        <w:t>Um die Verehrung der Heiligen richtig zu verstehen, muss man genau zwischen A</w:t>
      </w:r>
      <w:r w:rsidRPr="00001C22">
        <w:rPr>
          <w:rFonts w:ascii="Calibri" w:hAnsi="Calibri"/>
        </w:rPr>
        <w:t>n</w:t>
      </w:r>
      <w:r w:rsidRPr="00001C22">
        <w:rPr>
          <w:rFonts w:ascii="Calibri" w:hAnsi="Calibri"/>
        </w:rPr>
        <w:t>betung und Verehrung unterscheiden. Anbetung gebührt allein dem dreifaltigen Gott. Jemanden anzubeten, bedeutet, ihn als Gott anzuerkennen. Dagegen können wir Verehrung auch Me</w:t>
      </w:r>
      <w:r w:rsidRPr="00001C22">
        <w:rPr>
          <w:rFonts w:ascii="Calibri" w:hAnsi="Calibri"/>
        </w:rPr>
        <w:t>n</w:t>
      </w:r>
      <w:r w:rsidRPr="00001C22">
        <w:rPr>
          <w:rFonts w:ascii="Calibri" w:hAnsi="Calibri"/>
        </w:rPr>
        <w:t>schen entgegenbringen. Jeder Ehemann verehrt (hoffentlich) seine Frau; als kleines Zeichen trägt er vielleicht sogar ein Bild von ihr immer bei sich. Aber er wird sie deswegen nicht a</w:t>
      </w:r>
      <w:r w:rsidRPr="00001C22">
        <w:rPr>
          <w:rFonts w:ascii="Calibri" w:hAnsi="Calibri"/>
        </w:rPr>
        <w:t>n</w:t>
      </w:r>
      <w:r w:rsidRPr="00001C22">
        <w:rPr>
          <w:rFonts w:ascii="Calibri" w:hAnsi="Calibri"/>
        </w:rPr>
        <w:t xml:space="preserve">beten (außer in einem </w:t>
      </w:r>
      <w:r w:rsidRPr="00001C22">
        <w:rPr>
          <w:rFonts w:ascii="Calibri" w:hAnsi="Calibri"/>
          <w:iCs/>
        </w:rPr>
        <w:t>übertragenen</w:t>
      </w:r>
      <w:r w:rsidRPr="00001C22">
        <w:rPr>
          <w:rFonts w:ascii="Calibri" w:hAnsi="Calibri"/>
          <w:i/>
        </w:rPr>
        <w:t xml:space="preserve"> </w:t>
      </w:r>
      <w:r w:rsidRPr="00001C22">
        <w:rPr>
          <w:rFonts w:ascii="Calibri" w:hAnsi="Calibri"/>
        </w:rPr>
        <w:t xml:space="preserve">Sinn – wenn </w:t>
      </w:r>
      <w:r w:rsidR="00D1284C" w:rsidRPr="00001C22">
        <w:rPr>
          <w:rFonts w:ascii="Calibri" w:hAnsi="Calibri"/>
        </w:rPr>
        <w:t xml:space="preserve">er </w:t>
      </w:r>
      <w:r w:rsidRPr="00001C22">
        <w:rPr>
          <w:rFonts w:ascii="Calibri" w:hAnsi="Calibri"/>
        </w:rPr>
        <w:t xml:space="preserve">von seiner </w:t>
      </w:r>
      <w:r w:rsidR="00D1284C" w:rsidRPr="00001C22">
        <w:rPr>
          <w:rFonts w:ascii="Calibri" w:hAnsi="Calibri"/>
        </w:rPr>
        <w:t>»</w:t>
      </w:r>
      <w:r w:rsidRPr="00001C22">
        <w:rPr>
          <w:rFonts w:ascii="Calibri" w:hAnsi="Calibri"/>
        </w:rPr>
        <w:t>Angebeteten</w:t>
      </w:r>
      <w:r w:rsidR="00D1284C" w:rsidRPr="00001C22">
        <w:rPr>
          <w:rFonts w:ascii="Calibri" w:hAnsi="Calibri"/>
        </w:rPr>
        <w:t>«</w:t>
      </w:r>
      <w:r w:rsidRPr="00001C22">
        <w:rPr>
          <w:rFonts w:ascii="Calibri" w:hAnsi="Calibri"/>
          <w:i/>
        </w:rPr>
        <w:t xml:space="preserve"> </w:t>
      </w:r>
      <w:r w:rsidRPr="00001C22">
        <w:rPr>
          <w:rFonts w:ascii="Calibri" w:hAnsi="Calibri"/>
        </w:rPr>
        <w:t>spricht). Ähnlich verehren wir Katholiken die Heiligen; auch durch Bilder. Aber wir b</w:t>
      </w:r>
      <w:r w:rsidRPr="00001C22">
        <w:rPr>
          <w:rFonts w:ascii="Calibri" w:hAnsi="Calibri"/>
        </w:rPr>
        <w:t>e</w:t>
      </w:r>
      <w:r w:rsidRPr="00001C22">
        <w:rPr>
          <w:rFonts w:ascii="Calibri" w:hAnsi="Calibri"/>
        </w:rPr>
        <w:t>ten sie nicht an.</w:t>
      </w:r>
    </w:p>
    <w:p w:rsidR="0019468F" w:rsidRPr="00001C22" w:rsidRDefault="0019468F">
      <w:pPr>
        <w:jc w:val="both"/>
        <w:rPr>
          <w:rFonts w:ascii="Calibri" w:hAnsi="Calibri"/>
        </w:rPr>
      </w:pPr>
    </w:p>
    <w:p w:rsidR="0019468F" w:rsidRPr="00001C22" w:rsidRDefault="0019468F">
      <w:pPr>
        <w:jc w:val="both"/>
        <w:rPr>
          <w:rFonts w:ascii="Calibri" w:hAnsi="Calibri"/>
        </w:rPr>
      </w:pPr>
      <w:r w:rsidRPr="00001C22">
        <w:rPr>
          <w:rFonts w:ascii="Calibri" w:hAnsi="Calibri"/>
          <w:b/>
        </w:rPr>
        <w:t xml:space="preserve">Erster Einwand: </w:t>
      </w:r>
      <w:r w:rsidRPr="00001C22">
        <w:rPr>
          <w:rFonts w:ascii="Calibri" w:hAnsi="Calibri"/>
          <w:i/>
        </w:rPr>
        <w:t>Die Heiligenverehrung lenkt den Gläubigen von Gott ab. Für einen Chri</w:t>
      </w:r>
      <w:r w:rsidRPr="00001C22">
        <w:rPr>
          <w:rFonts w:ascii="Calibri" w:hAnsi="Calibri"/>
          <w:i/>
        </w:rPr>
        <w:t>s</w:t>
      </w:r>
      <w:r w:rsidRPr="00001C22">
        <w:rPr>
          <w:rFonts w:ascii="Calibri" w:hAnsi="Calibri"/>
          <w:i/>
        </w:rPr>
        <w:t>ten sollte eigentlich nur Christus wichtig sein. Nur er hat uns erlöst, nicht die Heiligen. Fol</w:t>
      </w:r>
      <w:r w:rsidRPr="00001C22">
        <w:rPr>
          <w:rFonts w:ascii="Calibri" w:hAnsi="Calibri"/>
          <w:i/>
        </w:rPr>
        <w:t>g</w:t>
      </w:r>
      <w:r w:rsidRPr="00001C22">
        <w:rPr>
          <w:rFonts w:ascii="Calibri" w:hAnsi="Calibri"/>
          <w:i/>
        </w:rPr>
        <w:t>lich ist die Verehrung von Heiligen für das Glaubensleben schädlich, oder zumindest übe</w:t>
      </w:r>
      <w:r w:rsidRPr="00001C22">
        <w:rPr>
          <w:rFonts w:ascii="Calibri" w:hAnsi="Calibri"/>
          <w:i/>
        </w:rPr>
        <w:t>r</w:t>
      </w:r>
      <w:r w:rsidRPr="00001C22">
        <w:rPr>
          <w:rFonts w:ascii="Calibri" w:hAnsi="Calibri"/>
          <w:i/>
        </w:rPr>
        <w:t>flüssig.</w:t>
      </w:r>
    </w:p>
    <w:p w:rsidR="0019468F" w:rsidRPr="00001C22" w:rsidRDefault="0019468F">
      <w:pPr>
        <w:jc w:val="both"/>
        <w:rPr>
          <w:rFonts w:ascii="Calibri" w:hAnsi="Calibri"/>
        </w:rPr>
      </w:pPr>
    </w:p>
    <w:p w:rsidR="0019468F" w:rsidRPr="00001C22" w:rsidRDefault="0019468F">
      <w:pPr>
        <w:jc w:val="both"/>
        <w:rPr>
          <w:rFonts w:ascii="Calibri" w:hAnsi="Calibri"/>
        </w:rPr>
      </w:pPr>
      <w:r w:rsidRPr="00001C22">
        <w:rPr>
          <w:rFonts w:ascii="Calibri" w:hAnsi="Calibri"/>
          <w:b/>
        </w:rPr>
        <w:t>Lösung:</w:t>
      </w:r>
      <w:r w:rsidRPr="00001C22">
        <w:rPr>
          <w:rFonts w:ascii="Calibri" w:hAnsi="Calibri"/>
        </w:rPr>
        <w:t xml:space="preserve"> Freilich, wenn jemand vor lauter Heiligenverehrung Christus </w:t>
      </w:r>
      <w:r w:rsidR="00ED3F9A" w:rsidRPr="00001C22">
        <w:rPr>
          <w:rFonts w:ascii="Calibri" w:hAnsi="Calibri"/>
        </w:rPr>
        <w:t>»</w:t>
      </w:r>
      <w:r w:rsidRPr="00001C22">
        <w:rPr>
          <w:rFonts w:ascii="Calibri" w:hAnsi="Calibri"/>
        </w:rPr>
        <w:t>vergessen</w:t>
      </w:r>
      <w:r w:rsidR="00ED3F9A" w:rsidRPr="00001C22">
        <w:rPr>
          <w:rFonts w:ascii="Calibri" w:hAnsi="Calibri"/>
        </w:rPr>
        <w:t>«</w:t>
      </w:r>
      <w:r w:rsidRPr="00001C22">
        <w:rPr>
          <w:rFonts w:ascii="Calibri" w:hAnsi="Calibri"/>
        </w:rPr>
        <w:t xml:space="preserve"> würde, dann wäre das falsch. Aber wir haben ja schon gesehen, dass die Heiligenverehrung nicht die Anbetung Gottes ersetzt. Wenn wir die Heiligen richtig verehren, dann bilden sie keine </w:t>
      </w:r>
      <w:r w:rsidR="00ED3F9A" w:rsidRPr="00001C22">
        <w:rPr>
          <w:rFonts w:ascii="Calibri" w:hAnsi="Calibri"/>
        </w:rPr>
        <w:t>»</w:t>
      </w:r>
      <w:r w:rsidRPr="00001C22">
        <w:rPr>
          <w:rFonts w:ascii="Calibri" w:hAnsi="Calibri"/>
        </w:rPr>
        <w:t>Konkurrenz</w:t>
      </w:r>
      <w:r w:rsidR="00ED3F9A" w:rsidRPr="00001C22">
        <w:rPr>
          <w:rFonts w:ascii="Calibri" w:hAnsi="Calibri"/>
        </w:rPr>
        <w:t>«</w:t>
      </w:r>
      <w:r w:rsidRPr="00001C22">
        <w:rPr>
          <w:rFonts w:ascii="Calibri" w:hAnsi="Calibri"/>
        </w:rPr>
        <w:t xml:space="preserve"> zu Jesus, sondern führen uns schnurstracks zu ihm. Warum? Was die Heil</w:t>
      </w:r>
      <w:r w:rsidRPr="00001C22">
        <w:rPr>
          <w:rFonts w:ascii="Calibri" w:hAnsi="Calibri"/>
        </w:rPr>
        <w:t>i</w:t>
      </w:r>
      <w:r w:rsidRPr="00001C22">
        <w:rPr>
          <w:rFonts w:ascii="Calibri" w:hAnsi="Calibri"/>
        </w:rPr>
        <w:t xml:space="preserve">gen sind, sind sie nur </w:t>
      </w:r>
      <w:r w:rsidRPr="00001C22">
        <w:rPr>
          <w:rFonts w:ascii="Calibri" w:hAnsi="Calibri"/>
          <w:i/>
        </w:rPr>
        <w:t xml:space="preserve">durch </w:t>
      </w:r>
      <w:r w:rsidRPr="00001C22">
        <w:rPr>
          <w:rFonts w:ascii="Calibri" w:hAnsi="Calibri"/>
        </w:rPr>
        <w:t xml:space="preserve">und </w:t>
      </w:r>
      <w:r w:rsidRPr="00001C22">
        <w:rPr>
          <w:rFonts w:ascii="Calibri" w:hAnsi="Calibri"/>
          <w:i/>
        </w:rPr>
        <w:t xml:space="preserve">in </w:t>
      </w:r>
      <w:r w:rsidRPr="00001C22">
        <w:rPr>
          <w:rFonts w:ascii="Calibri" w:hAnsi="Calibri"/>
        </w:rPr>
        <w:t xml:space="preserve">und </w:t>
      </w:r>
      <w:r w:rsidRPr="00001C22">
        <w:rPr>
          <w:rFonts w:ascii="Calibri" w:hAnsi="Calibri"/>
          <w:i/>
        </w:rPr>
        <w:t xml:space="preserve">wegen </w:t>
      </w:r>
      <w:r w:rsidRPr="00001C22">
        <w:rPr>
          <w:rFonts w:ascii="Calibri" w:hAnsi="Calibri"/>
        </w:rPr>
        <w:t>Jesus. Er ist der Weinstock, die Heiligen sind Re</w:t>
      </w:r>
      <w:r w:rsidRPr="00001C22">
        <w:rPr>
          <w:rFonts w:ascii="Calibri" w:hAnsi="Calibri"/>
        </w:rPr>
        <w:t>b</w:t>
      </w:r>
      <w:r w:rsidRPr="00001C22">
        <w:rPr>
          <w:rFonts w:ascii="Calibri" w:hAnsi="Calibri"/>
        </w:rPr>
        <w:t>zweige an ihm. Alles, was sie auf Erden Gutes getan haben und im Himmel an Gutem wirken, kö</w:t>
      </w:r>
      <w:r w:rsidRPr="00001C22">
        <w:rPr>
          <w:rFonts w:ascii="Calibri" w:hAnsi="Calibri"/>
        </w:rPr>
        <w:t>n</w:t>
      </w:r>
      <w:r w:rsidRPr="00001C22">
        <w:rPr>
          <w:rFonts w:ascii="Calibri" w:hAnsi="Calibri"/>
        </w:rPr>
        <w:t xml:space="preserve">nen sie nur wegen ihrer Verbindung mit Jesus, </w:t>
      </w:r>
      <w:r w:rsidR="00ED3F9A" w:rsidRPr="00001C22">
        <w:rPr>
          <w:rFonts w:ascii="Calibri" w:hAnsi="Calibri"/>
        </w:rPr>
        <w:t>»</w:t>
      </w:r>
      <w:r w:rsidRPr="00001C22">
        <w:rPr>
          <w:rFonts w:ascii="Calibri" w:hAnsi="Calibri"/>
        </w:rPr>
        <w:t>denn getrennt von mir könnt ihr nichts tun</w:t>
      </w:r>
      <w:r w:rsidR="00ED3F9A" w:rsidRPr="00001C22">
        <w:rPr>
          <w:rFonts w:ascii="Calibri" w:hAnsi="Calibri"/>
        </w:rPr>
        <w:t>«</w:t>
      </w:r>
      <w:r w:rsidRPr="00001C22">
        <w:rPr>
          <w:rFonts w:ascii="Calibri" w:hAnsi="Calibri"/>
          <w:i/>
        </w:rPr>
        <w:t xml:space="preserve"> </w:t>
      </w:r>
      <w:r w:rsidRPr="00001C22">
        <w:rPr>
          <w:rFonts w:ascii="Calibri" w:hAnsi="Calibri"/>
        </w:rPr>
        <w:t>(Joh 15,5). Wenn wir also die Heiligkeit der Heiligen betrachten, dann sind sie wie Wegweiser, die auf Jesus zeigen. Der Blick auf die Heiligen schmälert nicht die einzigart</w:t>
      </w:r>
      <w:r w:rsidRPr="00001C22">
        <w:rPr>
          <w:rFonts w:ascii="Calibri" w:hAnsi="Calibri"/>
        </w:rPr>
        <w:t>i</w:t>
      </w:r>
      <w:r w:rsidRPr="00001C22">
        <w:rPr>
          <w:rFonts w:ascii="Calibri" w:hAnsi="Calibri"/>
        </w:rPr>
        <w:t xml:space="preserve">ge Stellung Christi, im Gegenteil: ihr Leben macht uns klar, wie lebendig und fruchtbar der Weinstock </w:t>
      </w:r>
      <w:r w:rsidR="00ED3F9A" w:rsidRPr="00001C22">
        <w:rPr>
          <w:rFonts w:ascii="Calibri" w:hAnsi="Calibri"/>
        </w:rPr>
        <w:t>»</w:t>
      </w:r>
      <w:r w:rsidRPr="00001C22">
        <w:rPr>
          <w:rFonts w:ascii="Calibri" w:hAnsi="Calibri"/>
        </w:rPr>
        <w:t>Christus</w:t>
      </w:r>
      <w:r w:rsidR="00ED3F9A" w:rsidRPr="00001C22">
        <w:rPr>
          <w:rFonts w:ascii="Calibri" w:hAnsi="Calibri"/>
        </w:rPr>
        <w:t>«</w:t>
      </w:r>
      <w:r w:rsidRPr="00001C22">
        <w:rPr>
          <w:rFonts w:ascii="Calibri" w:hAnsi="Calibri"/>
        </w:rPr>
        <w:t xml:space="preserve"> in seinen Reben ist. Darum verehren wir – wenn wir die Heiligen ve</w:t>
      </w:r>
      <w:r w:rsidRPr="00001C22">
        <w:rPr>
          <w:rFonts w:ascii="Calibri" w:hAnsi="Calibri"/>
        </w:rPr>
        <w:t>r</w:t>
      </w:r>
      <w:r w:rsidRPr="00001C22">
        <w:rPr>
          <w:rFonts w:ascii="Calibri" w:hAnsi="Calibri"/>
        </w:rPr>
        <w:t>ehren – letztlich Jesus se</w:t>
      </w:r>
      <w:r w:rsidRPr="00001C22">
        <w:rPr>
          <w:rFonts w:ascii="Calibri" w:hAnsi="Calibri"/>
        </w:rPr>
        <w:t>l</w:t>
      </w:r>
      <w:r w:rsidRPr="00001C22">
        <w:rPr>
          <w:rFonts w:ascii="Calibri" w:hAnsi="Calibri"/>
        </w:rPr>
        <w:t>ber, der sie heilig gemacht hat.</w:t>
      </w:r>
    </w:p>
    <w:p w:rsidR="0019468F" w:rsidRPr="00001C22" w:rsidRDefault="0019468F">
      <w:pPr>
        <w:jc w:val="both"/>
        <w:rPr>
          <w:rFonts w:ascii="Calibri" w:hAnsi="Calibri"/>
        </w:rPr>
      </w:pPr>
    </w:p>
    <w:p w:rsidR="0019468F" w:rsidRPr="00001C22" w:rsidRDefault="0019468F">
      <w:pPr>
        <w:jc w:val="both"/>
        <w:rPr>
          <w:rFonts w:ascii="Calibri" w:hAnsi="Calibri"/>
          <w:i/>
        </w:rPr>
      </w:pPr>
      <w:r w:rsidRPr="00001C22">
        <w:rPr>
          <w:rFonts w:ascii="Calibri" w:hAnsi="Calibri"/>
          <w:b/>
        </w:rPr>
        <w:t xml:space="preserve">Zweiter Einwand: </w:t>
      </w:r>
      <w:r w:rsidRPr="00001C22">
        <w:rPr>
          <w:rFonts w:ascii="Calibri" w:hAnsi="Calibri"/>
          <w:i/>
        </w:rPr>
        <w:t>Im NT gibt es keine Stelle, an der Jesus oder die Apostel irgendwelche He</w:t>
      </w:r>
      <w:r w:rsidRPr="00001C22">
        <w:rPr>
          <w:rFonts w:ascii="Calibri" w:hAnsi="Calibri"/>
          <w:i/>
        </w:rPr>
        <w:t>i</w:t>
      </w:r>
      <w:r w:rsidRPr="00001C22">
        <w:rPr>
          <w:rFonts w:ascii="Calibri" w:hAnsi="Calibri"/>
          <w:i/>
        </w:rPr>
        <w:t>ligen angerufen hätten. Also ist das eine nachträgliche Erfindung der Ki</w:t>
      </w:r>
      <w:r w:rsidRPr="00001C22">
        <w:rPr>
          <w:rFonts w:ascii="Calibri" w:hAnsi="Calibri"/>
          <w:i/>
        </w:rPr>
        <w:t>r</w:t>
      </w:r>
      <w:r w:rsidRPr="00001C22">
        <w:rPr>
          <w:rFonts w:ascii="Calibri" w:hAnsi="Calibri"/>
          <w:i/>
        </w:rPr>
        <w:t>che.</w:t>
      </w:r>
    </w:p>
    <w:p w:rsidR="0019468F" w:rsidRPr="00001C22" w:rsidRDefault="0019468F">
      <w:pPr>
        <w:jc w:val="both"/>
        <w:rPr>
          <w:rFonts w:ascii="Calibri" w:hAnsi="Calibri"/>
        </w:rPr>
      </w:pPr>
    </w:p>
    <w:p w:rsidR="0019468F" w:rsidRPr="00001C22" w:rsidRDefault="0019468F">
      <w:pPr>
        <w:jc w:val="both"/>
        <w:rPr>
          <w:rFonts w:ascii="Calibri" w:hAnsi="Calibri"/>
        </w:rPr>
      </w:pPr>
      <w:r w:rsidRPr="00001C22">
        <w:rPr>
          <w:rFonts w:ascii="Calibri" w:hAnsi="Calibri"/>
          <w:b/>
        </w:rPr>
        <w:t>Lösung:</w:t>
      </w:r>
      <w:r w:rsidRPr="00001C22">
        <w:rPr>
          <w:rFonts w:ascii="Calibri" w:hAnsi="Calibri"/>
        </w:rPr>
        <w:t xml:space="preserve"> Es ist richtig, dass sich die Heiligenverehrung in der Kirche erst allmählich entw</w:t>
      </w:r>
      <w:r w:rsidRPr="00001C22">
        <w:rPr>
          <w:rFonts w:ascii="Calibri" w:hAnsi="Calibri"/>
        </w:rPr>
        <w:t>i</w:t>
      </w:r>
      <w:r w:rsidRPr="00001C22">
        <w:rPr>
          <w:rFonts w:ascii="Calibri" w:hAnsi="Calibri"/>
        </w:rPr>
        <w:t>ckelt hat, nämlich ausgehend von der Verehrung der Martyrer, die man als Vorbilder im Gla</w:t>
      </w:r>
      <w:r w:rsidRPr="00001C22">
        <w:rPr>
          <w:rFonts w:ascii="Calibri" w:hAnsi="Calibri"/>
        </w:rPr>
        <w:t>u</w:t>
      </w:r>
      <w:r w:rsidRPr="00001C22">
        <w:rPr>
          <w:rFonts w:ascii="Calibri" w:hAnsi="Calibri"/>
        </w:rPr>
        <w:t xml:space="preserve">ben angesehen hat. Es lässt sich aber zeigen, dass die Grundsätze der Heiligenverehrung schon in </w:t>
      </w:r>
      <w:r w:rsidRPr="00001C22">
        <w:rPr>
          <w:rFonts w:ascii="Calibri" w:hAnsi="Calibri"/>
        </w:rPr>
        <w:lastRenderedPageBreak/>
        <w:t>der Bibel vorhanden sind, wo wir z.B. klar die Unterscheidung zwischen Anbetung und Ve</w:t>
      </w:r>
      <w:r w:rsidRPr="00001C22">
        <w:rPr>
          <w:rFonts w:ascii="Calibri" w:hAnsi="Calibri"/>
        </w:rPr>
        <w:t>r</w:t>
      </w:r>
      <w:r w:rsidRPr="00001C22">
        <w:rPr>
          <w:rFonts w:ascii="Calibri" w:hAnsi="Calibri"/>
        </w:rPr>
        <w:t>ehrung</w:t>
      </w:r>
      <w:r w:rsidRPr="00001C22">
        <w:rPr>
          <w:rFonts w:ascii="Calibri" w:hAnsi="Calibri"/>
          <w:i/>
        </w:rPr>
        <w:t xml:space="preserve"> </w:t>
      </w:r>
      <w:r w:rsidRPr="00001C22">
        <w:rPr>
          <w:rFonts w:ascii="Calibri" w:hAnsi="Calibri"/>
          <w:iCs/>
        </w:rPr>
        <w:t>finden</w:t>
      </w:r>
      <w:r w:rsidRPr="00001C22">
        <w:rPr>
          <w:rFonts w:ascii="Calibri" w:hAnsi="Calibri"/>
        </w:rPr>
        <w:t>; oft werden andere Gläubige gebeten, für jemanden anderen zu b</w:t>
      </w:r>
      <w:r w:rsidRPr="00001C22">
        <w:rPr>
          <w:rFonts w:ascii="Calibri" w:hAnsi="Calibri"/>
        </w:rPr>
        <w:t>e</w:t>
      </w:r>
      <w:r w:rsidRPr="00001C22">
        <w:rPr>
          <w:rFonts w:ascii="Calibri" w:hAnsi="Calibri"/>
        </w:rPr>
        <w:t>ten; auch den verstorbenen Gläubigen (und den Engeln) wird eine Fürsprechermacht bei Gott zug</w:t>
      </w:r>
      <w:r w:rsidRPr="00001C22">
        <w:rPr>
          <w:rFonts w:ascii="Calibri" w:hAnsi="Calibri"/>
        </w:rPr>
        <w:t>e</w:t>
      </w:r>
      <w:r w:rsidRPr="00001C22">
        <w:rPr>
          <w:rFonts w:ascii="Calibri" w:hAnsi="Calibri"/>
        </w:rPr>
        <w:t>schrieben. Nehmen wir ein paar Stellen unter die L</w:t>
      </w:r>
      <w:r w:rsidRPr="00001C22">
        <w:rPr>
          <w:rFonts w:ascii="Calibri" w:hAnsi="Calibri"/>
        </w:rPr>
        <w:t>u</w:t>
      </w:r>
      <w:r w:rsidRPr="00001C22">
        <w:rPr>
          <w:rFonts w:ascii="Calibri" w:hAnsi="Calibri"/>
        </w:rPr>
        <w:t>pe:</w:t>
      </w:r>
    </w:p>
    <w:p w:rsidR="0019468F" w:rsidRPr="00001C22" w:rsidRDefault="0019468F">
      <w:pPr>
        <w:jc w:val="both"/>
        <w:rPr>
          <w:rFonts w:ascii="Calibri" w:hAnsi="Calibri"/>
        </w:rPr>
      </w:pPr>
    </w:p>
    <w:p w:rsidR="0019468F" w:rsidRPr="00001C22" w:rsidRDefault="0019468F">
      <w:pPr>
        <w:jc w:val="both"/>
        <w:rPr>
          <w:rFonts w:ascii="Calibri" w:hAnsi="Calibri"/>
        </w:rPr>
      </w:pPr>
      <w:r w:rsidRPr="00001C22">
        <w:rPr>
          <w:rFonts w:ascii="Calibri" w:hAnsi="Calibri"/>
          <w:b/>
        </w:rPr>
        <w:t>Gott allein gebührt Anbetung.</w:t>
      </w:r>
      <w:r w:rsidRPr="00001C22">
        <w:rPr>
          <w:rFonts w:ascii="Calibri" w:hAnsi="Calibri"/>
        </w:rPr>
        <w:t xml:space="preserve"> Den ersten Christen im NT war völlig klar, dass man bloße Menschen nicht anbeten darf. Als Paulus in </w:t>
      </w:r>
      <w:r w:rsidRPr="00001C22">
        <w:rPr>
          <w:rFonts w:ascii="Calibri" w:hAnsi="Calibri"/>
          <w:noProof/>
        </w:rPr>
        <w:t>Lystra</w:t>
      </w:r>
      <w:r w:rsidRPr="00001C22">
        <w:rPr>
          <w:rFonts w:ascii="Calibri" w:hAnsi="Calibri"/>
        </w:rPr>
        <w:t xml:space="preserve"> einen gelähmten Mann heilt, beginnt das dortige Volk, ihn und Barnabas als Götter zu verehren und ihnen Opfer darz</w:t>
      </w:r>
      <w:r w:rsidRPr="00001C22">
        <w:rPr>
          <w:rFonts w:ascii="Calibri" w:hAnsi="Calibri"/>
        </w:rPr>
        <w:t>u</w:t>
      </w:r>
      <w:r w:rsidRPr="00001C22">
        <w:rPr>
          <w:rFonts w:ascii="Calibri" w:hAnsi="Calibri"/>
        </w:rPr>
        <w:t xml:space="preserve">bringen (Apg 14,8ff). Paulus wehrt sich strikt gegen diese Anbetung: </w:t>
      </w:r>
      <w:r w:rsidR="0015623B" w:rsidRPr="00001C22">
        <w:rPr>
          <w:rFonts w:ascii="Calibri" w:hAnsi="Calibri"/>
        </w:rPr>
        <w:t>»</w:t>
      </w:r>
      <w:r w:rsidRPr="00001C22">
        <w:rPr>
          <w:rFonts w:ascii="Calibri" w:hAnsi="Calibri"/>
        </w:rPr>
        <w:t>Männer, was tut ihr? Auch wir sind nur Menschen, von gleicher Art wie ihr</w:t>
      </w:r>
      <w:r w:rsidR="0015623B" w:rsidRPr="00001C22">
        <w:rPr>
          <w:rFonts w:ascii="Calibri" w:hAnsi="Calibri"/>
        </w:rPr>
        <w:t>«</w:t>
      </w:r>
      <w:r w:rsidRPr="00001C22">
        <w:rPr>
          <w:rFonts w:ascii="Calibri" w:hAnsi="Calibri"/>
        </w:rPr>
        <w:t xml:space="preserve"> (Apg 14,15). Anders verhält es sich bei der Ehrerbi</w:t>
      </w:r>
      <w:r w:rsidRPr="00001C22">
        <w:rPr>
          <w:rFonts w:ascii="Calibri" w:hAnsi="Calibri"/>
        </w:rPr>
        <w:t>e</w:t>
      </w:r>
      <w:r w:rsidRPr="00001C22">
        <w:rPr>
          <w:rFonts w:ascii="Calibri" w:hAnsi="Calibri"/>
        </w:rPr>
        <w:t>tung, die auch gegenüber Menschen möglich ist, manchmal sogar gefordert wird. Pe</w:t>
      </w:r>
      <w:r w:rsidRPr="00001C22">
        <w:rPr>
          <w:rFonts w:ascii="Calibri" w:hAnsi="Calibri"/>
        </w:rPr>
        <w:t>t</w:t>
      </w:r>
      <w:r w:rsidRPr="00001C22">
        <w:rPr>
          <w:rFonts w:ascii="Calibri" w:hAnsi="Calibri"/>
        </w:rPr>
        <w:t xml:space="preserve">rus verlangt z.B. ausdrücklich: </w:t>
      </w:r>
      <w:r w:rsidR="0015623B" w:rsidRPr="00001C22">
        <w:rPr>
          <w:rFonts w:ascii="Calibri" w:hAnsi="Calibri"/>
        </w:rPr>
        <w:t>»</w:t>
      </w:r>
      <w:r w:rsidRPr="00001C22">
        <w:rPr>
          <w:rFonts w:ascii="Calibri" w:hAnsi="Calibri"/>
        </w:rPr>
        <w:t>Erweist allen Menschen Ehre, liebt die Brüder, . . . und ehrt den Ka</w:t>
      </w:r>
      <w:r w:rsidRPr="00001C22">
        <w:rPr>
          <w:rFonts w:ascii="Calibri" w:hAnsi="Calibri"/>
        </w:rPr>
        <w:t>i</w:t>
      </w:r>
      <w:r w:rsidRPr="00001C22">
        <w:rPr>
          <w:rFonts w:ascii="Calibri" w:hAnsi="Calibri"/>
        </w:rPr>
        <w:t>ser</w:t>
      </w:r>
      <w:r w:rsidR="0015623B" w:rsidRPr="00001C22">
        <w:rPr>
          <w:rFonts w:ascii="Calibri" w:hAnsi="Calibri"/>
        </w:rPr>
        <w:t>«</w:t>
      </w:r>
      <w:r w:rsidRPr="00001C22">
        <w:rPr>
          <w:rFonts w:ascii="Calibri" w:hAnsi="Calibri"/>
        </w:rPr>
        <w:t xml:space="preserve"> (1Petr 2,17). Um wie viel mehr wird es dann erlaubt sein, die Heiligen zu ehren.</w:t>
      </w:r>
    </w:p>
    <w:p w:rsidR="0019468F" w:rsidRPr="00001C22" w:rsidRDefault="0019468F">
      <w:pPr>
        <w:autoSpaceDE w:val="0"/>
        <w:autoSpaceDN w:val="0"/>
        <w:adjustRightInd w:val="0"/>
        <w:jc w:val="both"/>
        <w:rPr>
          <w:rFonts w:ascii="Calibri" w:hAnsi="Calibri"/>
        </w:rPr>
      </w:pPr>
    </w:p>
    <w:p w:rsidR="0019468F" w:rsidRPr="00001C22" w:rsidRDefault="0019468F">
      <w:pPr>
        <w:jc w:val="both"/>
        <w:rPr>
          <w:rFonts w:ascii="Calibri" w:hAnsi="Calibri"/>
        </w:rPr>
      </w:pPr>
      <w:r w:rsidRPr="00001C22">
        <w:rPr>
          <w:rFonts w:ascii="Calibri" w:hAnsi="Calibri"/>
          <w:b/>
        </w:rPr>
        <w:t xml:space="preserve">Gegenseitiges </w:t>
      </w:r>
      <w:r w:rsidRPr="00001C22">
        <w:rPr>
          <w:rFonts w:ascii="Calibri" w:hAnsi="Calibri"/>
          <w:b/>
          <w:noProof/>
        </w:rPr>
        <w:t>Fürbittgebet der Gläubigen.</w:t>
      </w:r>
      <w:r w:rsidRPr="00001C22">
        <w:rPr>
          <w:rFonts w:ascii="Calibri" w:hAnsi="Calibri"/>
          <w:noProof/>
        </w:rPr>
        <w:t xml:space="preserve"> </w:t>
      </w:r>
      <w:r w:rsidRPr="00001C22">
        <w:rPr>
          <w:rFonts w:ascii="Calibri" w:hAnsi="Calibri"/>
        </w:rPr>
        <w:t>Auch wenn das NT nicht von Gebeten zu versto</w:t>
      </w:r>
      <w:r w:rsidRPr="00001C22">
        <w:rPr>
          <w:rFonts w:ascii="Calibri" w:hAnsi="Calibri"/>
        </w:rPr>
        <w:t>r</w:t>
      </w:r>
      <w:r w:rsidRPr="00001C22">
        <w:rPr>
          <w:rFonts w:ascii="Calibri" w:hAnsi="Calibri"/>
        </w:rPr>
        <w:t xml:space="preserve">benen Gläubigen berichtet, wird häufig das </w:t>
      </w:r>
      <w:r w:rsidR="0015623B" w:rsidRPr="00001C22">
        <w:rPr>
          <w:rFonts w:ascii="Calibri" w:hAnsi="Calibri"/>
        </w:rPr>
        <w:t xml:space="preserve">Gebet </w:t>
      </w:r>
      <w:r w:rsidRPr="00001C22">
        <w:rPr>
          <w:rFonts w:ascii="Calibri" w:hAnsi="Calibri"/>
        </w:rPr>
        <w:t>füreinander</w:t>
      </w:r>
      <w:r w:rsidRPr="00001C22">
        <w:rPr>
          <w:rFonts w:ascii="Calibri" w:hAnsi="Calibri"/>
          <w:i/>
        </w:rPr>
        <w:t xml:space="preserve"> </w:t>
      </w:r>
      <w:r w:rsidRPr="00001C22">
        <w:rPr>
          <w:rFonts w:ascii="Calibri" w:hAnsi="Calibri"/>
        </w:rPr>
        <w:t>erwähnt. Paulus fo</w:t>
      </w:r>
      <w:r w:rsidRPr="00001C22">
        <w:rPr>
          <w:rFonts w:ascii="Calibri" w:hAnsi="Calibri"/>
        </w:rPr>
        <w:t>r</w:t>
      </w:r>
      <w:r w:rsidRPr="00001C22">
        <w:rPr>
          <w:rFonts w:ascii="Calibri" w:hAnsi="Calibri"/>
        </w:rPr>
        <w:t xml:space="preserve">dert seine Briefleser immer wieder auf, für ihn zu beten. </w:t>
      </w:r>
      <w:r w:rsidR="0015623B" w:rsidRPr="00001C22">
        <w:rPr>
          <w:rFonts w:ascii="Calibri" w:hAnsi="Calibri"/>
        </w:rPr>
        <w:t>»</w:t>
      </w:r>
      <w:r w:rsidRPr="00001C22">
        <w:rPr>
          <w:rFonts w:ascii="Calibri" w:hAnsi="Calibri"/>
        </w:rPr>
        <w:t>Betet für mich zu Gott</w:t>
      </w:r>
      <w:r w:rsidR="0015623B" w:rsidRPr="00001C22">
        <w:rPr>
          <w:rFonts w:ascii="Calibri" w:hAnsi="Calibri"/>
        </w:rPr>
        <w:t>«</w:t>
      </w:r>
      <w:r w:rsidRPr="00001C22">
        <w:rPr>
          <w:rFonts w:ascii="Calibri" w:hAnsi="Calibri"/>
        </w:rPr>
        <w:t xml:space="preserve"> (Röm 15,30; ebenso in Kol 4,3-4; 1Thess 5,25; 2Thess 3,1; Hebr 13,18). Schon im AT begegnet man dieser Praxis, wobei man der Fürbitte von hervorragenden Persönlichkeiten eine ganz besondere Wir</w:t>
      </w:r>
      <w:r w:rsidRPr="00001C22">
        <w:rPr>
          <w:rFonts w:ascii="Calibri" w:hAnsi="Calibri"/>
        </w:rPr>
        <w:t>k</w:t>
      </w:r>
      <w:r w:rsidRPr="00001C22">
        <w:rPr>
          <w:rFonts w:ascii="Calibri" w:hAnsi="Calibri"/>
        </w:rPr>
        <w:t xml:space="preserve">samkeit zusprach. So baten die Juden in einer Dürreperiode Judith: </w:t>
      </w:r>
      <w:r w:rsidR="0015623B" w:rsidRPr="00001C22">
        <w:rPr>
          <w:rFonts w:ascii="Calibri" w:hAnsi="Calibri"/>
        </w:rPr>
        <w:t>»</w:t>
      </w:r>
      <w:r w:rsidRPr="00001C22">
        <w:rPr>
          <w:rFonts w:ascii="Calibri" w:hAnsi="Calibri"/>
        </w:rPr>
        <w:t>Doch bete du jetzt für uns, denn du bist eine gottesfürchtige Frau. Dann wird der Herr Regen sch</w:t>
      </w:r>
      <w:r w:rsidRPr="00001C22">
        <w:rPr>
          <w:rFonts w:ascii="Calibri" w:hAnsi="Calibri"/>
        </w:rPr>
        <w:t>i</w:t>
      </w:r>
      <w:r w:rsidRPr="00001C22">
        <w:rPr>
          <w:rFonts w:ascii="Calibri" w:hAnsi="Calibri"/>
        </w:rPr>
        <w:t>cken, um unsere Zisternen zu füllen</w:t>
      </w:r>
      <w:r w:rsidR="0015623B" w:rsidRPr="00001C22">
        <w:rPr>
          <w:rFonts w:ascii="Calibri" w:hAnsi="Calibri"/>
        </w:rPr>
        <w:t>«</w:t>
      </w:r>
      <w:r w:rsidRPr="00001C22">
        <w:rPr>
          <w:rFonts w:ascii="Calibri" w:hAnsi="Calibri"/>
        </w:rPr>
        <w:t xml:space="preserve"> (Jud 8,31). Ganz ähnlich auch beim Propheten Jer</w:t>
      </w:r>
      <w:r w:rsidRPr="00001C22">
        <w:rPr>
          <w:rFonts w:ascii="Calibri" w:hAnsi="Calibri"/>
        </w:rPr>
        <w:t>e</w:t>
      </w:r>
      <w:r w:rsidRPr="00001C22">
        <w:rPr>
          <w:rFonts w:ascii="Calibri" w:hAnsi="Calibri"/>
        </w:rPr>
        <w:t>mias (vgl. Jer 37,3; 42,2). Schon zu biblischen Zeiten hat man also in gewissem Sinn zu heiligmäßigen Menschen geb</w:t>
      </w:r>
      <w:r w:rsidRPr="00001C22">
        <w:rPr>
          <w:rFonts w:ascii="Calibri" w:hAnsi="Calibri"/>
        </w:rPr>
        <w:t>e</w:t>
      </w:r>
      <w:r w:rsidRPr="00001C22">
        <w:rPr>
          <w:rFonts w:ascii="Calibri" w:hAnsi="Calibri"/>
        </w:rPr>
        <w:t>tet.</w:t>
      </w:r>
    </w:p>
    <w:p w:rsidR="0019468F" w:rsidRPr="00001C22" w:rsidRDefault="0019468F">
      <w:pPr>
        <w:jc w:val="both"/>
        <w:rPr>
          <w:rFonts w:ascii="Calibri" w:hAnsi="Calibri"/>
        </w:rPr>
      </w:pPr>
    </w:p>
    <w:p w:rsidR="0019468F" w:rsidRPr="00001C22" w:rsidRDefault="0019468F">
      <w:pPr>
        <w:jc w:val="both"/>
        <w:rPr>
          <w:rFonts w:ascii="Calibri" w:hAnsi="Calibri"/>
        </w:rPr>
      </w:pPr>
      <w:r w:rsidRPr="00001C22">
        <w:rPr>
          <w:rFonts w:ascii="Calibri" w:hAnsi="Calibri"/>
          <w:b/>
        </w:rPr>
        <w:t>Die Fürsprecherdienste der Heiligen im Himmel.</w:t>
      </w:r>
      <w:r w:rsidRPr="00001C22">
        <w:rPr>
          <w:rFonts w:ascii="Calibri" w:hAnsi="Calibri"/>
        </w:rPr>
        <w:t xml:space="preserve"> Sowohl das AT, als auch das NT b</w:t>
      </w:r>
      <w:r w:rsidRPr="00001C22">
        <w:rPr>
          <w:rFonts w:ascii="Calibri" w:hAnsi="Calibri"/>
        </w:rPr>
        <w:t>e</w:t>
      </w:r>
      <w:r w:rsidRPr="00001C22">
        <w:rPr>
          <w:rFonts w:ascii="Calibri" w:hAnsi="Calibri"/>
        </w:rPr>
        <w:t xml:space="preserve">zeugt, dass Engel und Heilige für uns Menschen Fürbitte bei Gott einlegen. In 2Makk </w:t>
      </w:r>
      <w:hyperlink r:id="rId8" w:anchor="a11" w:tgtFrame="_blank" w:history="1">
        <w:r w:rsidRPr="00001C22">
          <w:rPr>
            <w:rFonts w:ascii="Calibri" w:hAnsi="Calibri"/>
          </w:rPr>
          <w:t>15,12</w:t>
        </w:r>
      </w:hyperlink>
      <w:r w:rsidRPr="00001C22">
        <w:rPr>
          <w:rFonts w:ascii="Calibri" w:hAnsi="Calibri"/>
        </w:rPr>
        <w:t>-</w:t>
      </w:r>
      <w:hyperlink r:id="rId9" w:anchor="a13" w:tgtFrame="_blank" w:history="1">
        <w:r w:rsidRPr="00001C22">
          <w:rPr>
            <w:rFonts w:ascii="Calibri" w:hAnsi="Calibri"/>
          </w:rPr>
          <w:t>14</w:t>
        </w:r>
      </w:hyperlink>
      <w:r w:rsidRPr="00001C22">
        <w:rPr>
          <w:rFonts w:ascii="Calibri" w:hAnsi="Calibri"/>
        </w:rPr>
        <w:t xml:space="preserve"> heißt es, der Prophet Jeremias und der Hohepriester Onias würden im Jenseits bei Gott </w:t>
      </w:r>
      <w:r w:rsidR="0015623B" w:rsidRPr="00001C22">
        <w:rPr>
          <w:rFonts w:ascii="Calibri" w:hAnsi="Calibri"/>
        </w:rPr>
        <w:t>»</w:t>
      </w:r>
      <w:r w:rsidRPr="00001C22">
        <w:rPr>
          <w:rFonts w:ascii="Calibri" w:hAnsi="Calibri"/>
        </w:rPr>
        <w:t>für das ganze jüdische Volk</w:t>
      </w:r>
      <w:r w:rsidR="0015623B" w:rsidRPr="00001C22">
        <w:rPr>
          <w:rFonts w:ascii="Calibri" w:hAnsi="Calibri"/>
        </w:rPr>
        <w:t>«</w:t>
      </w:r>
      <w:r w:rsidRPr="00001C22">
        <w:rPr>
          <w:rFonts w:ascii="Calibri" w:hAnsi="Calibri"/>
        </w:rPr>
        <w:t xml:space="preserve"> Fürbitte einlegen. In Jer 15,1 wird die Möglichkeit erwähnt, Moses und Samuel könnten als Fürbitter für das Volk vor das Angesicht Gottes treten. In Tob </w:t>
      </w:r>
      <w:hyperlink r:id="rId10" w:anchor="a11" w:tgtFrame="_blank" w:history="1">
        <w:r w:rsidRPr="00001C22">
          <w:rPr>
            <w:rFonts w:ascii="Calibri" w:hAnsi="Calibri"/>
          </w:rPr>
          <w:t>12,12</w:t>
        </w:r>
      </w:hyperlink>
      <w:r w:rsidRPr="00001C22">
        <w:rPr>
          <w:rFonts w:ascii="Calibri" w:hAnsi="Calibri"/>
        </w:rPr>
        <w:t xml:space="preserve"> trägt der Erzengel Raphael das Gebet des Tobit </w:t>
      </w:r>
      <w:r w:rsidR="0015623B" w:rsidRPr="00001C22">
        <w:rPr>
          <w:rFonts w:ascii="Calibri" w:hAnsi="Calibri"/>
        </w:rPr>
        <w:t>»</w:t>
      </w:r>
      <w:r w:rsidRPr="00001C22">
        <w:rPr>
          <w:rFonts w:ascii="Calibri" w:hAnsi="Calibri"/>
        </w:rPr>
        <w:t>vor den heiligen Gott</w:t>
      </w:r>
      <w:r w:rsidR="0015623B" w:rsidRPr="00001C22">
        <w:rPr>
          <w:rFonts w:ascii="Calibri" w:hAnsi="Calibri"/>
        </w:rPr>
        <w:t>«</w:t>
      </w:r>
      <w:r w:rsidRPr="00001C22">
        <w:rPr>
          <w:rFonts w:ascii="Calibri" w:hAnsi="Calibri"/>
        </w:rPr>
        <w:t>. Auch das Buch Job kennt Engel als Fürbitter (</w:t>
      </w:r>
      <w:hyperlink r:id="rId11" w:anchor="a22" w:tgtFrame="_blank" w:history="1">
        <w:r w:rsidRPr="00001C22">
          <w:rPr>
            <w:rStyle w:val="Hyperlink"/>
            <w:rFonts w:ascii="Calibri" w:hAnsi="Calibri"/>
            <w:color w:val="auto"/>
            <w:u w:val="none"/>
          </w:rPr>
          <w:t>33,23-25</w:t>
        </w:r>
      </w:hyperlink>
      <w:r w:rsidRPr="00001C22">
        <w:rPr>
          <w:rFonts w:ascii="Calibri" w:hAnsi="Calibri"/>
        </w:rPr>
        <w:t xml:space="preserve">), ebenso </w:t>
      </w:r>
      <w:hyperlink r:id="rId12" w:anchor="a11" w:tgtFrame="_blank" w:history="1">
        <w:r w:rsidRPr="00001C22">
          <w:rPr>
            <w:rStyle w:val="Hyperlink"/>
            <w:rFonts w:ascii="Calibri" w:hAnsi="Calibri"/>
            <w:color w:val="auto"/>
            <w:u w:val="none"/>
          </w:rPr>
          <w:t>Sach 1,12-13</w:t>
        </w:r>
      </w:hyperlink>
      <w:r w:rsidRPr="00001C22">
        <w:rPr>
          <w:rFonts w:ascii="Calibri" w:hAnsi="Calibri"/>
        </w:rPr>
        <w:t>. Im NT beschreibt die Apokalypse, wie die Heiligen (Apk 5,8) und die Engel (Apk 8,4) im Himmel Gebete vor Gott darbringen. B</w:t>
      </w:r>
      <w:r w:rsidRPr="00001C22">
        <w:rPr>
          <w:rFonts w:ascii="Calibri" w:hAnsi="Calibri"/>
        </w:rPr>
        <w:t>e</w:t>
      </w:r>
      <w:r w:rsidRPr="00001C22">
        <w:rPr>
          <w:rFonts w:ascii="Calibri" w:hAnsi="Calibri"/>
        </w:rPr>
        <w:t>merkenswert ist Wsh 3,8, wonach die Gerechten nach ihrem Tod eine Einflussnahme in B</w:t>
      </w:r>
      <w:r w:rsidRPr="00001C22">
        <w:rPr>
          <w:rFonts w:ascii="Calibri" w:hAnsi="Calibri"/>
        </w:rPr>
        <w:t>e</w:t>
      </w:r>
      <w:r w:rsidRPr="00001C22">
        <w:rPr>
          <w:rFonts w:ascii="Calibri" w:hAnsi="Calibri"/>
        </w:rPr>
        <w:t xml:space="preserve">zug auf die Völker besitzen: </w:t>
      </w:r>
      <w:r w:rsidR="0015623B" w:rsidRPr="00001C22">
        <w:rPr>
          <w:rFonts w:ascii="Calibri" w:hAnsi="Calibri"/>
        </w:rPr>
        <w:t>»</w:t>
      </w:r>
      <w:r w:rsidRPr="00001C22">
        <w:rPr>
          <w:rFonts w:ascii="Calibri" w:hAnsi="Calibri"/>
        </w:rPr>
        <w:t>Sie werden Völker richten und über Nationen her</w:t>
      </w:r>
      <w:r w:rsidRPr="00001C22">
        <w:rPr>
          <w:rFonts w:ascii="Calibri" w:hAnsi="Calibri"/>
        </w:rPr>
        <w:t>r</w:t>
      </w:r>
      <w:r w:rsidRPr="00001C22">
        <w:rPr>
          <w:rFonts w:ascii="Calibri" w:hAnsi="Calibri"/>
        </w:rPr>
        <w:t>schen</w:t>
      </w:r>
      <w:proofErr w:type="gramStart"/>
      <w:r w:rsidRPr="00001C22">
        <w:rPr>
          <w:rFonts w:ascii="Calibri" w:hAnsi="Calibri"/>
        </w:rPr>
        <w:t>.</w:t>
      </w:r>
      <w:r w:rsidR="0015623B" w:rsidRPr="00001C22">
        <w:rPr>
          <w:rFonts w:ascii="Calibri" w:hAnsi="Calibri"/>
        </w:rPr>
        <w:t>«</w:t>
      </w:r>
      <w:proofErr w:type="gramEnd"/>
      <w:r w:rsidRPr="00001C22">
        <w:rPr>
          <w:rFonts w:ascii="Calibri" w:hAnsi="Calibri"/>
        </w:rPr>
        <w:t xml:space="preserve"> Nicht anders Jesus selber, der dem guten Menschen im Gleichnis vom Himmelreich ve</w:t>
      </w:r>
      <w:r w:rsidRPr="00001C22">
        <w:rPr>
          <w:rFonts w:ascii="Calibri" w:hAnsi="Calibri"/>
        </w:rPr>
        <w:t>r</w:t>
      </w:r>
      <w:r w:rsidRPr="00001C22">
        <w:rPr>
          <w:rFonts w:ascii="Calibri" w:hAnsi="Calibri"/>
        </w:rPr>
        <w:t xml:space="preserve">spricht: </w:t>
      </w:r>
      <w:r w:rsidR="0015623B" w:rsidRPr="00001C22">
        <w:rPr>
          <w:rFonts w:ascii="Calibri" w:hAnsi="Calibri"/>
        </w:rPr>
        <w:t>»</w:t>
      </w:r>
      <w:r w:rsidRPr="00001C22">
        <w:rPr>
          <w:rFonts w:ascii="Calibri" w:hAnsi="Calibri"/>
        </w:rPr>
        <w:t>Ich werde dich über vieles setzen</w:t>
      </w:r>
      <w:proofErr w:type="gramStart"/>
      <w:r w:rsidRPr="00001C22">
        <w:rPr>
          <w:rFonts w:ascii="Calibri" w:hAnsi="Calibri"/>
        </w:rPr>
        <w:t>.</w:t>
      </w:r>
      <w:r w:rsidR="0015623B" w:rsidRPr="00001C22">
        <w:rPr>
          <w:rFonts w:ascii="Calibri" w:hAnsi="Calibri"/>
        </w:rPr>
        <w:t>«</w:t>
      </w:r>
      <w:proofErr w:type="gramEnd"/>
      <w:r w:rsidRPr="00001C22">
        <w:rPr>
          <w:rFonts w:ascii="Calibri" w:hAnsi="Calibri"/>
        </w:rPr>
        <w:t xml:space="preserve"> (Mt 25,21. Im KKK 2683 wird mit dieser Stelle die Heil</w:t>
      </w:r>
      <w:r w:rsidRPr="00001C22">
        <w:rPr>
          <w:rFonts w:ascii="Calibri" w:hAnsi="Calibri"/>
        </w:rPr>
        <w:t>i</w:t>
      </w:r>
      <w:r w:rsidRPr="00001C22">
        <w:rPr>
          <w:rFonts w:ascii="Calibri" w:hAnsi="Calibri"/>
        </w:rPr>
        <w:t>genverehrung b</w:t>
      </w:r>
      <w:r w:rsidRPr="00001C22">
        <w:rPr>
          <w:rFonts w:ascii="Calibri" w:hAnsi="Calibri"/>
        </w:rPr>
        <w:t>e</w:t>
      </w:r>
      <w:r w:rsidRPr="00001C22">
        <w:rPr>
          <w:rFonts w:ascii="Calibri" w:hAnsi="Calibri"/>
        </w:rPr>
        <w:t>gründet).</w:t>
      </w:r>
    </w:p>
    <w:p w:rsidR="0019468F" w:rsidRPr="00001C22" w:rsidRDefault="0019468F">
      <w:pPr>
        <w:jc w:val="both"/>
        <w:rPr>
          <w:rFonts w:ascii="Calibri" w:hAnsi="Calibri"/>
        </w:rPr>
      </w:pPr>
      <w:r w:rsidRPr="00001C22">
        <w:rPr>
          <w:rFonts w:ascii="Calibri" w:hAnsi="Calibri"/>
        </w:rPr>
        <w:t>An manchen Stellen der Bibel klingt sogar ein direktes Beten zu herausragenden Verstorb</w:t>
      </w:r>
      <w:r w:rsidRPr="00001C22">
        <w:rPr>
          <w:rFonts w:ascii="Calibri" w:hAnsi="Calibri"/>
        </w:rPr>
        <w:t>e</w:t>
      </w:r>
      <w:r w:rsidRPr="00001C22">
        <w:rPr>
          <w:rFonts w:ascii="Calibri" w:hAnsi="Calibri"/>
        </w:rPr>
        <w:t>nen an. So wird im Buch Jesus Sirach (</w:t>
      </w:r>
      <w:hyperlink r:id="rId13" w:anchor="a3" w:tgtFrame="_blank" w:history="1">
        <w:r w:rsidRPr="00001C22">
          <w:rPr>
            <w:rStyle w:val="Hyperlink"/>
            <w:rFonts w:ascii="Calibri" w:hAnsi="Calibri"/>
            <w:color w:val="auto"/>
            <w:u w:val="none"/>
          </w:rPr>
          <w:t>48,4-11</w:t>
        </w:r>
      </w:hyperlink>
      <w:r w:rsidRPr="00001C22">
        <w:rPr>
          <w:rFonts w:ascii="Calibri" w:hAnsi="Calibri"/>
        </w:rPr>
        <w:t>) der in den Himmel aufgenommene Proph</w:t>
      </w:r>
      <w:r w:rsidRPr="00001C22">
        <w:rPr>
          <w:rFonts w:ascii="Calibri" w:hAnsi="Calibri"/>
        </w:rPr>
        <w:t>e</w:t>
      </w:r>
      <w:r w:rsidRPr="00001C22">
        <w:rPr>
          <w:rFonts w:ascii="Calibri" w:hAnsi="Calibri"/>
        </w:rPr>
        <w:t xml:space="preserve">t Elias direkt angesprochen: </w:t>
      </w:r>
      <w:r w:rsidR="0015623B" w:rsidRPr="00001C22">
        <w:rPr>
          <w:rFonts w:ascii="Calibri" w:hAnsi="Calibri"/>
        </w:rPr>
        <w:t>»</w:t>
      </w:r>
      <w:r w:rsidRPr="00001C22">
        <w:rPr>
          <w:rFonts w:ascii="Calibri" w:hAnsi="Calibri"/>
        </w:rPr>
        <w:t>Wie Ehrfurcht gebietend warst du, Elias. . . . Wohl dem, der dich sieht und stirbt; denn auch er wird leben</w:t>
      </w:r>
      <w:proofErr w:type="gramStart"/>
      <w:r w:rsidRPr="00001C22">
        <w:rPr>
          <w:rFonts w:ascii="Calibri" w:hAnsi="Calibri"/>
        </w:rPr>
        <w:t>.</w:t>
      </w:r>
      <w:r w:rsidR="0015623B" w:rsidRPr="00001C22">
        <w:rPr>
          <w:rFonts w:ascii="Calibri" w:hAnsi="Calibri"/>
        </w:rPr>
        <w:t>«</w:t>
      </w:r>
      <w:proofErr w:type="gramEnd"/>
      <w:r w:rsidRPr="00001C22">
        <w:rPr>
          <w:rFonts w:ascii="Calibri" w:hAnsi="Calibri"/>
        </w:rPr>
        <w:t xml:space="preserve"> Die Stelle meint wohl nicht nur ein zufälliges S</w:t>
      </w:r>
      <w:r w:rsidRPr="00001C22">
        <w:rPr>
          <w:rFonts w:ascii="Calibri" w:hAnsi="Calibri"/>
        </w:rPr>
        <w:t>e</w:t>
      </w:r>
      <w:r w:rsidRPr="00001C22">
        <w:rPr>
          <w:rFonts w:ascii="Calibri" w:hAnsi="Calibri"/>
        </w:rPr>
        <w:t>hen von Elias, sondern eher das Beten zu ihm. Dass man Elias als besonderen Schutzpa</w:t>
      </w:r>
      <w:r w:rsidRPr="00001C22">
        <w:rPr>
          <w:rFonts w:ascii="Calibri" w:hAnsi="Calibri"/>
        </w:rPr>
        <w:t>t</w:t>
      </w:r>
      <w:r w:rsidRPr="00001C22">
        <w:rPr>
          <w:rFonts w:ascii="Calibri" w:hAnsi="Calibri"/>
        </w:rPr>
        <w:t xml:space="preserve">ron verehrt hat, wird indirekt bei der Kreuzigung Christi deutlich (Mt 27,46-49). Der Ruf Jesu </w:t>
      </w:r>
      <w:r w:rsidR="0015623B" w:rsidRPr="00001C22">
        <w:rPr>
          <w:rFonts w:ascii="Calibri" w:hAnsi="Calibri"/>
        </w:rPr>
        <w:t>»</w:t>
      </w:r>
      <w:r w:rsidRPr="00001C22">
        <w:rPr>
          <w:rFonts w:ascii="Calibri" w:hAnsi="Calibri"/>
        </w:rPr>
        <w:t>Eli, Eli, lema sabachtani</w:t>
      </w:r>
      <w:proofErr w:type="gramStart"/>
      <w:r w:rsidRPr="00001C22">
        <w:rPr>
          <w:rFonts w:ascii="Calibri" w:hAnsi="Calibri"/>
        </w:rPr>
        <w:t>?</w:t>
      </w:r>
      <w:r w:rsidR="0015623B" w:rsidRPr="00001C22">
        <w:rPr>
          <w:rFonts w:ascii="Calibri" w:hAnsi="Calibri"/>
        </w:rPr>
        <w:t>«</w:t>
      </w:r>
      <w:proofErr w:type="gramEnd"/>
      <w:r w:rsidRPr="00001C22">
        <w:rPr>
          <w:rFonts w:ascii="Calibri" w:hAnsi="Calibri"/>
        </w:rPr>
        <w:t xml:space="preserve"> – </w:t>
      </w:r>
      <w:r w:rsidR="0015623B" w:rsidRPr="00001C22">
        <w:rPr>
          <w:rFonts w:ascii="Calibri" w:hAnsi="Calibri"/>
        </w:rPr>
        <w:t>»</w:t>
      </w:r>
      <w:r w:rsidRPr="00001C22">
        <w:rPr>
          <w:rFonts w:ascii="Calibri" w:hAnsi="Calibri"/>
        </w:rPr>
        <w:t>Mein Gott, mein Gott, warum hast du mich verla</w:t>
      </w:r>
      <w:r w:rsidRPr="00001C22">
        <w:rPr>
          <w:rFonts w:ascii="Calibri" w:hAnsi="Calibri"/>
        </w:rPr>
        <w:t>s</w:t>
      </w:r>
      <w:r w:rsidRPr="00001C22">
        <w:rPr>
          <w:rFonts w:ascii="Calibri" w:hAnsi="Calibri"/>
        </w:rPr>
        <w:t>sen</w:t>
      </w:r>
      <w:proofErr w:type="gramStart"/>
      <w:r w:rsidRPr="00001C22">
        <w:rPr>
          <w:rFonts w:ascii="Calibri" w:hAnsi="Calibri"/>
        </w:rPr>
        <w:t>?</w:t>
      </w:r>
      <w:r w:rsidR="0015623B" w:rsidRPr="00001C22">
        <w:rPr>
          <w:rFonts w:ascii="Calibri" w:hAnsi="Calibri"/>
        </w:rPr>
        <w:t>«</w:t>
      </w:r>
      <w:proofErr w:type="gramEnd"/>
      <w:r w:rsidRPr="00001C22">
        <w:rPr>
          <w:rFonts w:ascii="Calibri" w:hAnsi="Calibri"/>
        </w:rPr>
        <w:t xml:space="preserve"> wurde von manchen Juden als Gebet zu Elias</w:t>
      </w:r>
      <w:r w:rsidRPr="00001C22">
        <w:rPr>
          <w:rFonts w:ascii="Calibri" w:hAnsi="Calibri"/>
          <w:i/>
        </w:rPr>
        <w:t xml:space="preserve"> </w:t>
      </w:r>
      <w:r w:rsidRPr="00001C22">
        <w:rPr>
          <w:rFonts w:ascii="Calibri" w:hAnsi="Calibri"/>
        </w:rPr>
        <w:t xml:space="preserve">verstanden. </w:t>
      </w:r>
      <w:r w:rsidR="0015623B" w:rsidRPr="00001C22">
        <w:rPr>
          <w:rFonts w:ascii="Calibri" w:hAnsi="Calibri"/>
        </w:rPr>
        <w:t>»</w:t>
      </w:r>
      <w:r w:rsidRPr="00001C22">
        <w:rPr>
          <w:rFonts w:ascii="Calibri" w:hAnsi="Calibri"/>
        </w:rPr>
        <w:t>Lass doch, wir wollen sehen, ob Elias kommt und ihm hilft</w:t>
      </w:r>
      <w:proofErr w:type="gramStart"/>
      <w:r w:rsidRPr="00001C22">
        <w:rPr>
          <w:rFonts w:ascii="Calibri" w:hAnsi="Calibri"/>
        </w:rPr>
        <w:t>.</w:t>
      </w:r>
      <w:r w:rsidR="0015623B" w:rsidRPr="00001C22">
        <w:rPr>
          <w:rFonts w:ascii="Calibri" w:hAnsi="Calibri"/>
        </w:rPr>
        <w:t>«</w:t>
      </w:r>
      <w:proofErr w:type="gramEnd"/>
      <w:r w:rsidRPr="00001C22">
        <w:rPr>
          <w:rFonts w:ascii="Calibri" w:hAnsi="Calibri"/>
        </w:rPr>
        <w:t xml:space="preserve"> Folglich war schon zurzeit Jesu bei den Juden das Bittgebet zu den Gerechten des AT g</w:t>
      </w:r>
      <w:r w:rsidRPr="00001C22">
        <w:rPr>
          <w:rFonts w:ascii="Calibri" w:hAnsi="Calibri"/>
        </w:rPr>
        <w:t>e</w:t>
      </w:r>
      <w:r w:rsidRPr="00001C22">
        <w:rPr>
          <w:rFonts w:ascii="Calibri" w:hAnsi="Calibri"/>
        </w:rPr>
        <w:t>bräuchlich.</w:t>
      </w:r>
    </w:p>
    <w:p w:rsidR="0019468F" w:rsidRPr="00001C22" w:rsidRDefault="0019468F">
      <w:pPr>
        <w:autoSpaceDE w:val="0"/>
        <w:autoSpaceDN w:val="0"/>
        <w:adjustRightInd w:val="0"/>
        <w:jc w:val="both"/>
        <w:rPr>
          <w:rFonts w:ascii="Calibri" w:hAnsi="Calibri"/>
        </w:rPr>
      </w:pPr>
    </w:p>
    <w:p w:rsidR="0019468F" w:rsidRPr="00001C22" w:rsidRDefault="0019468F">
      <w:pPr>
        <w:jc w:val="both"/>
        <w:rPr>
          <w:rFonts w:ascii="Calibri" w:hAnsi="Calibri"/>
        </w:rPr>
      </w:pPr>
      <w:r w:rsidRPr="00001C22">
        <w:rPr>
          <w:rFonts w:ascii="Calibri" w:hAnsi="Calibri"/>
          <w:b/>
        </w:rPr>
        <w:lastRenderedPageBreak/>
        <w:t>Die Verehrung der Heiligen.</w:t>
      </w:r>
      <w:r w:rsidRPr="00001C22">
        <w:rPr>
          <w:rFonts w:ascii="Calibri" w:hAnsi="Calibri"/>
        </w:rPr>
        <w:t xml:space="preserve"> Es ist richtig, dass die Bibel keine Verehrung der Heiligen im Himmel im heutigen Sinn</w:t>
      </w:r>
      <w:r w:rsidRPr="00001C22">
        <w:rPr>
          <w:rFonts w:ascii="Calibri" w:hAnsi="Calibri"/>
          <w:i/>
        </w:rPr>
        <w:t xml:space="preserve"> </w:t>
      </w:r>
      <w:r w:rsidRPr="00001C22">
        <w:rPr>
          <w:rFonts w:ascii="Calibri" w:hAnsi="Calibri"/>
        </w:rPr>
        <w:t xml:space="preserve">kennt. Von einer Verehrung der Engel wird dagegen an mehreren Stellen berichtet. So spricht z.B. im AT ein Engel zu Josua: </w:t>
      </w:r>
      <w:r w:rsidR="0015623B" w:rsidRPr="00001C22">
        <w:rPr>
          <w:rFonts w:ascii="Calibri" w:hAnsi="Calibri"/>
        </w:rPr>
        <w:t>»</w:t>
      </w:r>
      <w:r w:rsidRPr="00001C22">
        <w:rPr>
          <w:rFonts w:ascii="Calibri" w:hAnsi="Calibri"/>
        </w:rPr>
        <w:t>Ich bin der Anführer des Heeres des Herrn. Ich bin soeben gekommen. Da warf sich Josua vor ihm zu Boden, um ihm zu hu</w:t>
      </w:r>
      <w:r w:rsidRPr="00001C22">
        <w:rPr>
          <w:rFonts w:ascii="Calibri" w:hAnsi="Calibri"/>
        </w:rPr>
        <w:t>l</w:t>
      </w:r>
      <w:r w:rsidRPr="00001C22">
        <w:rPr>
          <w:rFonts w:ascii="Calibri" w:hAnsi="Calibri"/>
        </w:rPr>
        <w:t>digen</w:t>
      </w:r>
      <w:r w:rsidR="0015623B" w:rsidRPr="00001C22">
        <w:rPr>
          <w:rFonts w:ascii="Calibri" w:hAnsi="Calibri"/>
        </w:rPr>
        <w:t>«</w:t>
      </w:r>
      <w:r w:rsidRPr="00001C22">
        <w:rPr>
          <w:rFonts w:ascii="Calibri" w:hAnsi="Calibri"/>
        </w:rPr>
        <w:t xml:space="preserve"> (Jos 5,14). Genauso verhalten sich Tobit und Tobias gegenüber dem Engel Raphael (Tob 12,16). Den Grund, warum die Engel verehrungswürdig sind, erklärt uns Jesus im NT: </w:t>
      </w:r>
      <w:r w:rsidR="0015623B" w:rsidRPr="00001C22">
        <w:rPr>
          <w:rFonts w:ascii="Calibri" w:hAnsi="Calibri"/>
        </w:rPr>
        <w:t>»</w:t>
      </w:r>
      <w:r w:rsidRPr="00001C22">
        <w:rPr>
          <w:rFonts w:ascii="Calibri" w:hAnsi="Calibri"/>
        </w:rPr>
        <w:t>Ich sage euch: Ihre Engel im Himmel sehen stets das Angesicht meines himmlischen V</w:t>
      </w:r>
      <w:r w:rsidRPr="00001C22">
        <w:rPr>
          <w:rFonts w:ascii="Calibri" w:hAnsi="Calibri"/>
        </w:rPr>
        <w:t>a</w:t>
      </w:r>
      <w:r w:rsidRPr="00001C22">
        <w:rPr>
          <w:rFonts w:ascii="Calibri" w:hAnsi="Calibri"/>
        </w:rPr>
        <w:t>ters</w:t>
      </w:r>
      <w:r w:rsidR="0015623B" w:rsidRPr="00001C22">
        <w:rPr>
          <w:rFonts w:ascii="Calibri" w:hAnsi="Calibri"/>
        </w:rPr>
        <w:t>«</w:t>
      </w:r>
      <w:r w:rsidRPr="00001C22">
        <w:rPr>
          <w:rFonts w:ascii="Calibri" w:hAnsi="Calibri"/>
        </w:rPr>
        <w:t xml:space="preserve"> (Mt 18,12). Genau dieser Punkt gilt aber nach Aussagen des NT auch für die Heiligen im Himmel: Sie schauen Gott von Angesicht zu Angesicht (vgl. 1Kor 13,12; 1Joh 3,2). Dann aber ist es nur konsequent, wenn man nicht nur Engel, sondern auch die Heiligen verehrt (d</w:t>
      </w:r>
      <w:r w:rsidRPr="00001C22">
        <w:rPr>
          <w:rFonts w:ascii="Calibri" w:hAnsi="Calibri"/>
        </w:rPr>
        <w:t>a</w:t>
      </w:r>
      <w:r w:rsidRPr="00001C22">
        <w:rPr>
          <w:rFonts w:ascii="Calibri" w:hAnsi="Calibri"/>
        </w:rPr>
        <w:t>zu noch mehr im letzten Abschnitt).</w:t>
      </w:r>
    </w:p>
    <w:p w:rsidR="0019468F" w:rsidRPr="00001C22" w:rsidRDefault="0019468F">
      <w:pPr>
        <w:jc w:val="both"/>
        <w:rPr>
          <w:rFonts w:ascii="Calibri" w:hAnsi="Calibri"/>
        </w:rPr>
      </w:pPr>
    </w:p>
    <w:p w:rsidR="0019468F" w:rsidRPr="00001C22" w:rsidRDefault="0019468F">
      <w:pPr>
        <w:jc w:val="both"/>
        <w:rPr>
          <w:rFonts w:ascii="Calibri" w:hAnsi="Calibri"/>
        </w:rPr>
      </w:pPr>
      <w:r w:rsidRPr="00001C22">
        <w:rPr>
          <w:rFonts w:ascii="Calibri" w:hAnsi="Calibri"/>
        </w:rPr>
        <w:t>Kurz: Auch wenn das Beten zu den Heiligen in der Bibel nicht direkt erwähnt wird, so enthält die hl. Schrift doch alle notwendigen Grundsätze für die Begründung der Heiligenvere</w:t>
      </w:r>
      <w:r w:rsidRPr="00001C22">
        <w:rPr>
          <w:rFonts w:ascii="Calibri" w:hAnsi="Calibri"/>
        </w:rPr>
        <w:t>h</w:t>
      </w:r>
      <w:r w:rsidRPr="00001C22">
        <w:rPr>
          <w:rFonts w:ascii="Calibri" w:hAnsi="Calibri"/>
        </w:rPr>
        <w:t xml:space="preserve">rung. </w:t>
      </w:r>
    </w:p>
    <w:p w:rsidR="0019468F" w:rsidRPr="00001C22" w:rsidRDefault="0019468F">
      <w:pPr>
        <w:jc w:val="both"/>
        <w:rPr>
          <w:rFonts w:ascii="Calibri" w:hAnsi="Calibri"/>
        </w:rPr>
      </w:pPr>
    </w:p>
    <w:p w:rsidR="0019468F" w:rsidRPr="00001C22" w:rsidRDefault="0019468F">
      <w:pPr>
        <w:jc w:val="both"/>
        <w:rPr>
          <w:rFonts w:ascii="Calibri" w:hAnsi="Calibri"/>
        </w:rPr>
      </w:pPr>
      <w:r w:rsidRPr="00001C22">
        <w:rPr>
          <w:rFonts w:ascii="Calibri" w:hAnsi="Calibri"/>
          <w:b/>
        </w:rPr>
        <w:t xml:space="preserve">Zeugnisse aus den ersten Jahrhunderten. </w:t>
      </w:r>
      <w:r w:rsidRPr="00001C22">
        <w:rPr>
          <w:rFonts w:ascii="Calibri" w:hAnsi="Calibri"/>
        </w:rPr>
        <w:t>Darüber hinaus lässt sich zeigen, dass das Gebet zu den Heiligen nicht eine Erfindung des Mittelalters ist, sondern schon in der Urkirche ü</w:t>
      </w:r>
      <w:r w:rsidRPr="00001C22">
        <w:rPr>
          <w:rFonts w:ascii="Calibri" w:hAnsi="Calibri"/>
        </w:rPr>
        <w:t>b</w:t>
      </w:r>
      <w:r w:rsidRPr="00001C22">
        <w:rPr>
          <w:rFonts w:ascii="Calibri" w:hAnsi="Calibri"/>
        </w:rPr>
        <w:t>lich war.</w:t>
      </w:r>
    </w:p>
    <w:p w:rsidR="0019468F" w:rsidRPr="00001C22" w:rsidRDefault="00884129">
      <w:pPr>
        <w:numPr>
          <w:ilvl w:val="0"/>
          <w:numId w:val="18"/>
        </w:numPr>
        <w:tabs>
          <w:tab w:val="clear" w:pos="720"/>
          <w:tab w:val="num" w:pos="360"/>
        </w:tabs>
        <w:ind w:left="360"/>
        <w:jc w:val="both"/>
        <w:rPr>
          <w:rFonts w:ascii="Calibri" w:hAnsi="Calibri"/>
        </w:rPr>
      </w:pPr>
      <w:r w:rsidRPr="00001C22">
        <w:rPr>
          <w:rFonts w:ascii="Calibri" w:hAnsi="Calibri"/>
          <w:noProof/>
          <w:lang w:eastAsia="de-DE"/>
        </w:rPr>
        <w:drawing>
          <wp:anchor distT="0" distB="0" distL="114300" distR="114300" simplePos="0" relativeHeight="251657216" behindDoc="1" locked="0" layoutInCell="1" allowOverlap="1" wp14:anchorId="31B2C90D" wp14:editId="32D7D529">
            <wp:simplePos x="0" y="0"/>
            <wp:positionH relativeFrom="column">
              <wp:posOffset>3837940</wp:posOffset>
            </wp:positionH>
            <wp:positionV relativeFrom="paragraph">
              <wp:posOffset>41275</wp:posOffset>
            </wp:positionV>
            <wp:extent cx="1868805" cy="670560"/>
            <wp:effectExtent l="0" t="0" r="0" b="0"/>
            <wp:wrapTight wrapText="bothSides">
              <wp:wrapPolygon edited="0">
                <wp:start x="0" y="0"/>
                <wp:lineTo x="0" y="20864"/>
                <wp:lineTo x="21358" y="20864"/>
                <wp:lineTo x="21358" y="0"/>
                <wp:lineTo x="0" y="0"/>
              </wp:wrapPolygon>
            </wp:wrapTight>
            <wp:docPr id="4" name="Bild 4" descr="pa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ul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880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68F" w:rsidRPr="00001C22">
        <w:rPr>
          <w:rFonts w:ascii="Calibri" w:hAnsi="Calibri"/>
        </w:rPr>
        <w:t xml:space="preserve">In der Kirche </w:t>
      </w:r>
      <w:hyperlink r:id="rId15" w:tgtFrame="_blank" w:history="1">
        <w:r w:rsidR="0019468F" w:rsidRPr="00001C22">
          <w:rPr>
            <w:rFonts w:ascii="Calibri" w:hAnsi="Calibri"/>
          </w:rPr>
          <w:t>S. Sebastiano</w:t>
        </w:r>
      </w:hyperlink>
      <w:r w:rsidR="0019468F" w:rsidRPr="00001C22">
        <w:rPr>
          <w:rFonts w:ascii="Calibri" w:hAnsi="Calibri"/>
        </w:rPr>
        <w:t xml:space="preserve"> (Rom) bezeugen </w:t>
      </w:r>
      <w:r w:rsidR="0019468F" w:rsidRPr="00001C22">
        <w:rPr>
          <w:rStyle w:val="Fett"/>
          <w:rFonts w:ascii="Calibri" w:hAnsi="Calibri"/>
          <w:b w:val="0"/>
        </w:rPr>
        <w:t xml:space="preserve">antike </w:t>
      </w:r>
      <w:r w:rsidR="0015623B" w:rsidRPr="00001C22">
        <w:rPr>
          <w:rStyle w:val="Fett"/>
          <w:rFonts w:ascii="Calibri" w:hAnsi="Calibri"/>
          <w:b w:val="0"/>
        </w:rPr>
        <w:t>»</w:t>
      </w:r>
      <w:r w:rsidR="0019468F" w:rsidRPr="00001C22">
        <w:rPr>
          <w:rFonts w:ascii="Calibri" w:hAnsi="Calibri"/>
        </w:rPr>
        <w:t>Graffiti</w:t>
      </w:r>
      <w:r w:rsidR="0015623B" w:rsidRPr="00001C22">
        <w:rPr>
          <w:rFonts w:ascii="Calibri" w:hAnsi="Calibri"/>
        </w:rPr>
        <w:t>«</w:t>
      </w:r>
      <w:r w:rsidR="0019468F" w:rsidRPr="00001C22">
        <w:rPr>
          <w:rFonts w:ascii="Calibri" w:hAnsi="Calibri"/>
        </w:rPr>
        <w:t xml:space="preserve"> die weite Verbreitung und Selbstverständlic</w:t>
      </w:r>
      <w:r w:rsidR="0019468F" w:rsidRPr="00001C22">
        <w:rPr>
          <w:rFonts w:ascii="Calibri" w:hAnsi="Calibri"/>
        </w:rPr>
        <w:t>h</w:t>
      </w:r>
      <w:r w:rsidR="0019468F" w:rsidRPr="00001C22">
        <w:rPr>
          <w:rFonts w:ascii="Calibri" w:hAnsi="Calibri"/>
        </w:rPr>
        <w:t>keit der Heiligenverehrung der frühen Kirche. Sie en</w:t>
      </w:r>
      <w:r w:rsidR="0019468F" w:rsidRPr="00001C22">
        <w:rPr>
          <w:rFonts w:ascii="Calibri" w:hAnsi="Calibri"/>
        </w:rPr>
        <w:t>t</w:t>
      </w:r>
      <w:r w:rsidR="0019468F" w:rsidRPr="00001C22">
        <w:rPr>
          <w:rFonts w:ascii="Calibri" w:hAnsi="Calibri"/>
        </w:rPr>
        <w:t>halten Anrufu</w:t>
      </w:r>
      <w:r w:rsidR="0019468F" w:rsidRPr="00001C22">
        <w:rPr>
          <w:rFonts w:ascii="Calibri" w:hAnsi="Calibri"/>
        </w:rPr>
        <w:t>n</w:t>
      </w:r>
      <w:r w:rsidR="0019468F" w:rsidRPr="00001C22">
        <w:rPr>
          <w:rFonts w:ascii="Calibri" w:hAnsi="Calibri"/>
        </w:rPr>
        <w:t xml:space="preserve">gen der Apostel Petrus und Paulus in vulgärlateinischer, griechischer und aramäischer Sprache, also bereits von Pilgern aus verschiedenen Teilen der Welt. </w:t>
      </w:r>
      <w:r w:rsidR="0019468F" w:rsidRPr="00001C22">
        <w:rPr>
          <w:rFonts w:ascii="Calibri" w:hAnsi="Calibri"/>
          <w:lang w:val="it-IT"/>
        </w:rPr>
        <w:t>Beispiele</w:t>
      </w:r>
      <w:proofErr w:type="gramStart"/>
      <w:r w:rsidR="0019468F" w:rsidRPr="00001C22">
        <w:rPr>
          <w:rFonts w:ascii="Calibri" w:hAnsi="Calibri"/>
          <w:lang w:val="it-IT"/>
        </w:rPr>
        <w:t xml:space="preserve">: </w:t>
      </w:r>
      <w:r w:rsidR="0015623B" w:rsidRPr="00001C22">
        <w:rPr>
          <w:rFonts w:ascii="Calibri" w:hAnsi="Calibri"/>
          <w:lang w:val="it-IT"/>
        </w:rPr>
        <w:t>»</w:t>
      </w:r>
      <w:r w:rsidR="0019468F" w:rsidRPr="00001C22">
        <w:rPr>
          <w:rFonts w:ascii="Calibri" w:hAnsi="Calibri"/>
          <w:noProof/>
          <w:lang w:val="it-IT"/>
        </w:rPr>
        <w:t>Petre</w:t>
      </w:r>
      <w:proofErr w:type="gramEnd"/>
      <w:r w:rsidR="0019468F" w:rsidRPr="00001C22">
        <w:rPr>
          <w:rFonts w:ascii="Calibri" w:hAnsi="Calibri"/>
          <w:noProof/>
          <w:lang w:val="it-IT"/>
        </w:rPr>
        <w:t xml:space="preserve"> ed Paule petite pro Victore</w:t>
      </w:r>
      <w:r w:rsidR="0019468F" w:rsidRPr="00001C22">
        <w:rPr>
          <w:rFonts w:ascii="Calibri" w:hAnsi="Calibri"/>
          <w:lang w:val="it-IT"/>
        </w:rPr>
        <w:t>.</w:t>
      </w:r>
      <w:r w:rsidR="0015623B" w:rsidRPr="00001C22">
        <w:rPr>
          <w:rFonts w:ascii="Calibri" w:hAnsi="Calibri"/>
          <w:lang w:val="it-IT"/>
        </w:rPr>
        <w:t>«</w:t>
      </w:r>
      <w:r w:rsidR="0019468F" w:rsidRPr="00001C22">
        <w:rPr>
          <w:rFonts w:ascii="Calibri" w:hAnsi="Calibri"/>
          <w:lang w:val="it-IT"/>
        </w:rPr>
        <w:t xml:space="preserve"> </w:t>
      </w:r>
      <w:r w:rsidR="0019468F" w:rsidRPr="00001C22">
        <w:rPr>
          <w:rFonts w:ascii="Calibri" w:hAnsi="Calibri"/>
        </w:rPr>
        <w:t>(</w:t>
      </w:r>
      <w:r w:rsidR="0019468F" w:rsidRPr="00001C22">
        <w:rPr>
          <w:rFonts w:ascii="Calibri" w:hAnsi="Calibri"/>
          <w:i/>
        </w:rPr>
        <w:t>Petrus und Paulus, betet für Viktor</w:t>
      </w:r>
      <w:r w:rsidR="0019468F" w:rsidRPr="00001C22">
        <w:rPr>
          <w:rFonts w:ascii="Calibri" w:hAnsi="Calibri"/>
        </w:rPr>
        <w:t xml:space="preserve">.) Oder: </w:t>
      </w:r>
      <w:r w:rsidR="0015623B" w:rsidRPr="00001C22">
        <w:rPr>
          <w:rFonts w:ascii="Calibri" w:hAnsi="Calibri"/>
        </w:rPr>
        <w:t>»</w:t>
      </w:r>
      <w:r w:rsidR="0019468F" w:rsidRPr="00001C22">
        <w:rPr>
          <w:rFonts w:ascii="Calibri" w:hAnsi="Calibri"/>
          <w:noProof/>
        </w:rPr>
        <w:t>Petre et Paule, in mente habete Sozomenum</w:t>
      </w:r>
      <w:r w:rsidR="0019468F" w:rsidRPr="00001C22">
        <w:rPr>
          <w:rFonts w:ascii="Calibri" w:hAnsi="Calibri"/>
        </w:rPr>
        <w:t>.</w:t>
      </w:r>
      <w:r w:rsidR="0015623B" w:rsidRPr="00001C22">
        <w:rPr>
          <w:rFonts w:ascii="Calibri" w:hAnsi="Calibri"/>
        </w:rPr>
        <w:t>«</w:t>
      </w:r>
      <w:r w:rsidR="0019468F" w:rsidRPr="00001C22">
        <w:rPr>
          <w:rFonts w:ascii="Calibri" w:hAnsi="Calibri"/>
        </w:rPr>
        <w:t xml:space="preserve"> (</w:t>
      </w:r>
      <w:r w:rsidR="0019468F" w:rsidRPr="00001C22">
        <w:rPr>
          <w:rFonts w:ascii="Calibri" w:hAnsi="Calibri"/>
          <w:i/>
        </w:rPr>
        <w:t>Pe</w:t>
      </w:r>
      <w:r w:rsidR="0019468F" w:rsidRPr="00001C22">
        <w:rPr>
          <w:rFonts w:ascii="Calibri" w:hAnsi="Calibri"/>
          <w:i/>
        </w:rPr>
        <w:t>t</w:t>
      </w:r>
      <w:r w:rsidR="0019468F" w:rsidRPr="00001C22">
        <w:rPr>
          <w:rFonts w:ascii="Calibri" w:hAnsi="Calibri"/>
          <w:i/>
        </w:rPr>
        <w:t>rus und Paulus, denkt an Sozomenus</w:t>
      </w:r>
      <w:r w:rsidR="0019468F" w:rsidRPr="00001C22">
        <w:rPr>
          <w:rFonts w:ascii="Calibri" w:hAnsi="Calibri"/>
        </w:rPr>
        <w:t xml:space="preserve">.) Oder: </w:t>
      </w:r>
      <w:r w:rsidR="0015623B" w:rsidRPr="00001C22">
        <w:rPr>
          <w:rFonts w:ascii="Calibri" w:hAnsi="Calibri"/>
        </w:rPr>
        <w:t>»</w:t>
      </w:r>
      <w:r w:rsidR="0019468F" w:rsidRPr="00001C22">
        <w:rPr>
          <w:rFonts w:ascii="Calibri" w:hAnsi="Calibri"/>
          <w:noProof/>
        </w:rPr>
        <w:t>Petre et Paule subvenite Primitivo peccatori</w:t>
      </w:r>
      <w:proofErr w:type="gramStart"/>
      <w:r w:rsidR="0019468F" w:rsidRPr="00001C22">
        <w:rPr>
          <w:rFonts w:ascii="Calibri" w:hAnsi="Calibri"/>
        </w:rPr>
        <w:t>.</w:t>
      </w:r>
      <w:r w:rsidR="0015623B" w:rsidRPr="00001C22">
        <w:rPr>
          <w:rFonts w:ascii="Calibri" w:hAnsi="Calibri"/>
        </w:rPr>
        <w:t>«</w:t>
      </w:r>
      <w:proofErr w:type="gramEnd"/>
      <w:r w:rsidR="0019468F" w:rsidRPr="00001C22">
        <w:rPr>
          <w:rFonts w:ascii="Calibri" w:hAnsi="Calibri"/>
        </w:rPr>
        <w:t xml:space="preserve"> (</w:t>
      </w:r>
      <w:r w:rsidR="0019468F" w:rsidRPr="00001C22">
        <w:rPr>
          <w:rFonts w:ascii="Calibri" w:hAnsi="Calibri"/>
          <w:i/>
        </w:rPr>
        <w:t>Petrus und Paulus, unterstützt Primitivus, den Sünder</w:t>
      </w:r>
      <w:r w:rsidR="0019468F" w:rsidRPr="00001C22">
        <w:rPr>
          <w:rFonts w:ascii="Calibri" w:hAnsi="Calibri"/>
        </w:rPr>
        <w:t>.)</w:t>
      </w:r>
    </w:p>
    <w:p w:rsidR="0019468F" w:rsidRPr="00001C22" w:rsidRDefault="0019468F">
      <w:pPr>
        <w:numPr>
          <w:ilvl w:val="0"/>
          <w:numId w:val="18"/>
        </w:numPr>
        <w:tabs>
          <w:tab w:val="clear" w:pos="720"/>
          <w:tab w:val="num" w:pos="360"/>
        </w:tabs>
        <w:spacing w:before="120" w:after="120"/>
        <w:ind w:left="360"/>
        <w:jc w:val="both"/>
        <w:rPr>
          <w:rFonts w:ascii="Calibri" w:hAnsi="Calibri"/>
        </w:rPr>
      </w:pPr>
      <w:r w:rsidRPr="00001C22">
        <w:rPr>
          <w:rStyle w:val="Fett"/>
          <w:rFonts w:ascii="Calibri" w:hAnsi="Calibri"/>
          <w:b w:val="0"/>
        </w:rPr>
        <w:t>Im Jahre 156 n. Chr.</w:t>
      </w:r>
      <w:r w:rsidRPr="00001C22">
        <w:rPr>
          <w:rStyle w:val="Fett"/>
          <w:rFonts w:ascii="Calibri" w:hAnsi="Calibri"/>
          <w:color w:val="008080"/>
        </w:rPr>
        <w:t xml:space="preserve"> </w:t>
      </w:r>
      <w:r w:rsidRPr="00001C22">
        <w:rPr>
          <w:rFonts w:ascii="Calibri" w:hAnsi="Calibri"/>
        </w:rPr>
        <w:t xml:space="preserve">schreiben die </w:t>
      </w:r>
      <w:r w:rsidRPr="00001C22">
        <w:rPr>
          <w:rStyle w:val="Fett"/>
          <w:rFonts w:ascii="Calibri" w:hAnsi="Calibri"/>
          <w:b w:val="0"/>
        </w:rPr>
        <w:t>Christen von Smyrna</w:t>
      </w:r>
      <w:r w:rsidRPr="00001C22">
        <w:rPr>
          <w:rFonts w:ascii="Calibri" w:hAnsi="Calibri"/>
        </w:rPr>
        <w:t xml:space="preserve"> im Bericht über das Martyrium ihres Bischofs Polykarp: </w:t>
      </w:r>
      <w:r w:rsidR="0015623B" w:rsidRPr="00001C22">
        <w:rPr>
          <w:rFonts w:ascii="Calibri" w:hAnsi="Calibri"/>
        </w:rPr>
        <w:t>»</w:t>
      </w:r>
      <w:r w:rsidRPr="00001C22">
        <w:rPr>
          <w:rFonts w:ascii="Calibri" w:hAnsi="Calibri"/>
        </w:rPr>
        <w:t>Christus beten wir an, weil er der Sohn Gottes ist. Die Märtyrer aber lieben wir als Jünger und Nachahmer des Herrn wegen ihrer unvergleichlichen Hi</w:t>
      </w:r>
      <w:r w:rsidRPr="00001C22">
        <w:rPr>
          <w:rFonts w:ascii="Calibri" w:hAnsi="Calibri"/>
        </w:rPr>
        <w:t>n</w:t>
      </w:r>
      <w:r w:rsidRPr="00001C22">
        <w:rPr>
          <w:rFonts w:ascii="Calibri" w:hAnsi="Calibri"/>
        </w:rPr>
        <w:t>gabe an ihren König und Meister. Möchten doch auch wir ihre Gefährten und Mitschüler werden</w:t>
      </w:r>
      <w:r w:rsidR="0015623B" w:rsidRPr="00001C22">
        <w:rPr>
          <w:rFonts w:ascii="Calibri" w:hAnsi="Calibri"/>
        </w:rPr>
        <w:t>«</w:t>
      </w:r>
      <w:r w:rsidRPr="00001C22">
        <w:rPr>
          <w:rFonts w:ascii="Calibri" w:hAnsi="Calibri"/>
        </w:rPr>
        <w:t xml:space="preserve"> (</w:t>
      </w:r>
      <w:r w:rsidRPr="00001C22">
        <w:rPr>
          <w:rFonts w:ascii="Calibri" w:hAnsi="Calibri"/>
          <w:i/>
        </w:rPr>
        <w:t>MartPol</w:t>
      </w:r>
      <w:r w:rsidRPr="00001C22">
        <w:rPr>
          <w:rFonts w:ascii="Calibri" w:hAnsi="Calibri"/>
        </w:rPr>
        <w:t xml:space="preserve"> 17,3).</w:t>
      </w:r>
    </w:p>
    <w:p w:rsidR="0019468F" w:rsidRPr="00001C22" w:rsidRDefault="0019468F">
      <w:pPr>
        <w:numPr>
          <w:ilvl w:val="0"/>
          <w:numId w:val="18"/>
        </w:numPr>
        <w:tabs>
          <w:tab w:val="clear" w:pos="720"/>
          <w:tab w:val="num" w:pos="360"/>
        </w:tabs>
        <w:ind w:left="360"/>
        <w:jc w:val="both"/>
        <w:rPr>
          <w:rFonts w:ascii="Calibri" w:hAnsi="Calibri"/>
        </w:rPr>
      </w:pPr>
      <w:r w:rsidRPr="00001C22">
        <w:rPr>
          <w:rFonts w:ascii="Calibri" w:hAnsi="Calibri"/>
        </w:rPr>
        <w:t xml:space="preserve">Bischof Cyprian von Karthago (um 200-258) schreibt: </w:t>
      </w:r>
      <w:r w:rsidR="0015623B" w:rsidRPr="00001C22">
        <w:rPr>
          <w:rFonts w:ascii="Calibri" w:hAnsi="Calibri"/>
        </w:rPr>
        <w:t>»</w:t>
      </w:r>
      <w:r w:rsidRPr="00001C22">
        <w:rPr>
          <w:rFonts w:ascii="Calibri" w:hAnsi="Calibri"/>
        </w:rPr>
        <w:t>Als unsere Heimat betrachten wir das Paradies. . . . Eine große Anzahl von Lieben erwartet uns dort, eine stattliche, mäc</w:t>
      </w:r>
      <w:r w:rsidRPr="00001C22">
        <w:rPr>
          <w:rFonts w:ascii="Calibri" w:hAnsi="Calibri"/>
        </w:rPr>
        <w:t>h</w:t>
      </w:r>
      <w:r w:rsidRPr="00001C22">
        <w:rPr>
          <w:rFonts w:ascii="Calibri" w:hAnsi="Calibri"/>
        </w:rPr>
        <w:t>tige Schar von Eltern, Geschwistern und Kindern sehnt sich nach uns, um die eigene Re</w:t>
      </w:r>
      <w:r w:rsidRPr="00001C22">
        <w:rPr>
          <w:rFonts w:ascii="Calibri" w:hAnsi="Calibri"/>
        </w:rPr>
        <w:t>t</w:t>
      </w:r>
      <w:r w:rsidRPr="00001C22">
        <w:rPr>
          <w:rFonts w:ascii="Calibri" w:hAnsi="Calibri"/>
        </w:rPr>
        <w:t xml:space="preserve">tung bereits unbesorgt und </w:t>
      </w:r>
      <w:r w:rsidRPr="00001C22">
        <w:rPr>
          <w:rFonts w:ascii="Calibri" w:hAnsi="Calibri"/>
          <w:i/>
        </w:rPr>
        <w:t>nur um unser Heil noch bekümmert</w:t>
      </w:r>
      <w:r w:rsidR="0015623B" w:rsidRPr="00001C22">
        <w:rPr>
          <w:rFonts w:ascii="Calibri" w:hAnsi="Calibri"/>
        </w:rPr>
        <w:t>«</w:t>
      </w:r>
      <w:r w:rsidRPr="00001C22">
        <w:rPr>
          <w:rFonts w:ascii="Calibri" w:hAnsi="Calibri"/>
        </w:rPr>
        <w:t xml:space="preserve"> (</w:t>
      </w:r>
      <w:r w:rsidRPr="00001C22">
        <w:rPr>
          <w:rFonts w:ascii="Calibri" w:hAnsi="Calibri"/>
          <w:i/>
        </w:rPr>
        <w:t>De mortal</w:t>
      </w:r>
      <w:r w:rsidRPr="00001C22">
        <w:rPr>
          <w:rFonts w:ascii="Calibri" w:hAnsi="Calibri"/>
          <w:i/>
        </w:rPr>
        <w:t>i</w:t>
      </w:r>
      <w:r w:rsidRPr="00001C22">
        <w:rPr>
          <w:rFonts w:ascii="Calibri" w:hAnsi="Calibri"/>
          <w:i/>
        </w:rPr>
        <w:t>tate</w:t>
      </w:r>
      <w:r w:rsidRPr="00001C22">
        <w:rPr>
          <w:rFonts w:ascii="Calibri" w:hAnsi="Calibri"/>
        </w:rPr>
        <w:t xml:space="preserve"> 26).</w:t>
      </w:r>
    </w:p>
    <w:p w:rsidR="0019468F" w:rsidRPr="00001C22" w:rsidRDefault="0019468F">
      <w:pPr>
        <w:numPr>
          <w:ilvl w:val="0"/>
          <w:numId w:val="18"/>
        </w:numPr>
        <w:tabs>
          <w:tab w:val="clear" w:pos="720"/>
          <w:tab w:val="num" w:pos="360"/>
        </w:tabs>
        <w:spacing w:before="120" w:after="120"/>
        <w:ind w:left="360"/>
        <w:jc w:val="both"/>
        <w:rPr>
          <w:rFonts w:ascii="Calibri" w:hAnsi="Calibri"/>
          <w:lang w:val="it-IT"/>
        </w:rPr>
      </w:pPr>
      <w:r w:rsidRPr="00001C22">
        <w:rPr>
          <w:rFonts w:ascii="Calibri" w:hAnsi="Calibri"/>
        </w:rPr>
        <w:t>Im Jahre 406</w:t>
      </w:r>
      <w:r w:rsidRPr="00001C22">
        <w:rPr>
          <w:rFonts w:ascii="Calibri" w:hAnsi="Calibri"/>
          <w:b/>
        </w:rPr>
        <w:t xml:space="preserve"> </w:t>
      </w:r>
      <w:r w:rsidRPr="00001C22">
        <w:rPr>
          <w:rFonts w:ascii="Calibri" w:hAnsi="Calibri"/>
        </w:rPr>
        <w:t xml:space="preserve">antwortet der Kirchenlehrer Hieronymus dem Priester Vigilantius, der in einem Buch die Anrufung der Heiligen in Frage stellte: </w:t>
      </w:r>
      <w:r w:rsidR="0015623B" w:rsidRPr="00001C22">
        <w:rPr>
          <w:rFonts w:ascii="Calibri" w:hAnsi="Calibri"/>
        </w:rPr>
        <w:t>»</w:t>
      </w:r>
      <w:r w:rsidRPr="00001C22">
        <w:rPr>
          <w:rFonts w:ascii="Calibri" w:hAnsi="Calibri"/>
        </w:rPr>
        <w:t>Du sagst in deinem Buch, dass wir füreinander beten können, während wir noch am Leben sind, aber nachdem wir g</w:t>
      </w:r>
      <w:r w:rsidRPr="00001C22">
        <w:rPr>
          <w:rFonts w:ascii="Calibri" w:hAnsi="Calibri"/>
        </w:rPr>
        <w:t>e</w:t>
      </w:r>
      <w:r w:rsidRPr="00001C22">
        <w:rPr>
          <w:rFonts w:ascii="Calibri" w:hAnsi="Calibri"/>
        </w:rPr>
        <w:t>storben sind, kann das Gebet für einen anderen nicht erhört werden. . . . Aber wenn die Apostel und Märtyrer für andere beten können, während sie noch im Leibe sind, zu einer Zeit, in der sie noch um sich selbst besorgt sein müssen, wie viel mehr werden sie solches tun, nachdem sie ihre Kronen, Siege und Triumphe empfangen haben?</w:t>
      </w:r>
      <w:r w:rsidR="0015623B" w:rsidRPr="00001C22">
        <w:rPr>
          <w:rFonts w:ascii="Calibri" w:hAnsi="Calibri"/>
        </w:rPr>
        <w:t>«</w:t>
      </w:r>
      <w:r w:rsidRPr="00001C22">
        <w:rPr>
          <w:rFonts w:ascii="Calibri" w:hAnsi="Calibri"/>
        </w:rPr>
        <w:t xml:space="preserve"> </w:t>
      </w:r>
      <w:r w:rsidRPr="00001C22">
        <w:rPr>
          <w:rFonts w:ascii="Calibri" w:hAnsi="Calibri"/>
          <w:lang w:val="it-IT"/>
        </w:rPr>
        <w:t>(</w:t>
      </w:r>
      <w:r w:rsidRPr="00001C22">
        <w:rPr>
          <w:rFonts w:ascii="Calibri" w:hAnsi="Calibri"/>
          <w:i/>
          <w:lang w:val="it-IT"/>
        </w:rPr>
        <w:t>Contra Vigilia</w:t>
      </w:r>
      <w:r w:rsidRPr="00001C22">
        <w:rPr>
          <w:rFonts w:ascii="Calibri" w:hAnsi="Calibri"/>
          <w:i/>
          <w:lang w:val="it-IT"/>
        </w:rPr>
        <w:t>n</w:t>
      </w:r>
      <w:r w:rsidRPr="00001C22">
        <w:rPr>
          <w:rFonts w:ascii="Calibri" w:hAnsi="Calibri"/>
          <w:i/>
          <w:lang w:val="it-IT"/>
        </w:rPr>
        <w:t>tium</w:t>
      </w:r>
      <w:r w:rsidRPr="00001C22">
        <w:rPr>
          <w:rFonts w:ascii="Calibri" w:hAnsi="Calibri"/>
          <w:lang w:val="it-IT"/>
        </w:rPr>
        <w:t xml:space="preserve"> 6; PL 23, 359).</w:t>
      </w:r>
    </w:p>
    <w:p w:rsidR="0019468F" w:rsidRPr="00001C22" w:rsidRDefault="0019468F">
      <w:pPr>
        <w:jc w:val="both"/>
        <w:rPr>
          <w:rFonts w:ascii="Calibri" w:hAnsi="Calibri"/>
          <w:lang w:val="it-IT"/>
        </w:rPr>
      </w:pPr>
    </w:p>
    <w:p w:rsidR="0019468F" w:rsidRPr="00001C22" w:rsidRDefault="0019468F">
      <w:pPr>
        <w:jc w:val="both"/>
        <w:rPr>
          <w:rFonts w:ascii="Calibri" w:hAnsi="Calibri"/>
        </w:rPr>
      </w:pPr>
      <w:r w:rsidRPr="00001C22">
        <w:rPr>
          <w:rFonts w:ascii="Calibri" w:hAnsi="Calibri"/>
          <w:b/>
        </w:rPr>
        <w:lastRenderedPageBreak/>
        <w:t xml:space="preserve">Eine letzte Frage: </w:t>
      </w:r>
      <w:r w:rsidRPr="00001C22">
        <w:rPr>
          <w:rFonts w:ascii="Calibri" w:hAnsi="Calibri"/>
          <w:i/>
        </w:rPr>
        <w:t>Wenn die Heiligenverehrung so gut begründet ist, warum wird sie dann von so vielen Menschen – vor allem seit der Reformation im 16. Jh. – abg</w:t>
      </w:r>
      <w:r w:rsidRPr="00001C22">
        <w:rPr>
          <w:rFonts w:ascii="Calibri" w:hAnsi="Calibri"/>
          <w:i/>
        </w:rPr>
        <w:t>e</w:t>
      </w:r>
      <w:r w:rsidRPr="00001C22">
        <w:rPr>
          <w:rFonts w:ascii="Calibri" w:hAnsi="Calibri"/>
          <w:i/>
        </w:rPr>
        <w:t>lehnt?</w:t>
      </w:r>
      <w:r w:rsidRPr="00001C22">
        <w:rPr>
          <w:rFonts w:ascii="Calibri" w:hAnsi="Calibri"/>
        </w:rPr>
        <w:t xml:space="preserve"> </w:t>
      </w:r>
    </w:p>
    <w:p w:rsidR="0019468F" w:rsidRPr="00001C22" w:rsidRDefault="0019468F">
      <w:pPr>
        <w:jc w:val="both"/>
        <w:rPr>
          <w:rFonts w:ascii="Calibri" w:hAnsi="Calibri"/>
        </w:rPr>
      </w:pPr>
      <w:r w:rsidRPr="00001C22">
        <w:rPr>
          <w:rFonts w:ascii="Calibri" w:hAnsi="Calibri"/>
        </w:rPr>
        <w:t>Hinter der Kritik an der Heiligenverehrung (vor allem durch den Protestantismus) steht eine ganz bestimmte Auffassung, was die Erlösung Jesu in uns Menschen eigentlich bewirkt. Nach Martin Luther vergibt Gott dem Menschen zwar seine Sünden, aber die innere Verdorbe</w:t>
      </w:r>
      <w:r w:rsidRPr="00001C22">
        <w:rPr>
          <w:rFonts w:ascii="Calibri" w:hAnsi="Calibri"/>
        </w:rPr>
        <w:t>n</w:t>
      </w:r>
      <w:r w:rsidRPr="00001C22">
        <w:rPr>
          <w:rFonts w:ascii="Calibri" w:hAnsi="Calibri"/>
        </w:rPr>
        <w:t xml:space="preserve">heit des Sünders bleibt; die Gnade deckt seine Schlechtigkeit zwar zu, aber sie wird nicht geheilt. Nach katholischem Verständnis dagegen bewirkt die Gnade eine </w:t>
      </w:r>
      <w:r w:rsidR="000C22F8" w:rsidRPr="00001C22">
        <w:rPr>
          <w:rFonts w:ascii="Calibri" w:hAnsi="Calibri"/>
        </w:rPr>
        <w:t>»</w:t>
      </w:r>
      <w:r w:rsidRPr="00001C22">
        <w:rPr>
          <w:rFonts w:ascii="Calibri" w:hAnsi="Calibri"/>
        </w:rPr>
        <w:t>innere Erneu</w:t>
      </w:r>
      <w:r w:rsidRPr="00001C22">
        <w:rPr>
          <w:rFonts w:ascii="Calibri" w:hAnsi="Calibri"/>
        </w:rPr>
        <w:t>e</w:t>
      </w:r>
      <w:r w:rsidRPr="00001C22">
        <w:rPr>
          <w:rFonts w:ascii="Calibri" w:hAnsi="Calibri"/>
        </w:rPr>
        <w:t>rung und He</w:t>
      </w:r>
      <w:r w:rsidRPr="00001C22">
        <w:rPr>
          <w:rFonts w:ascii="Calibri" w:hAnsi="Calibri"/>
        </w:rPr>
        <w:t>i</w:t>
      </w:r>
      <w:r w:rsidRPr="00001C22">
        <w:rPr>
          <w:rFonts w:ascii="Calibri" w:hAnsi="Calibri"/>
        </w:rPr>
        <w:t>ligung des Menschen</w:t>
      </w:r>
      <w:r w:rsidR="000C22F8" w:rsidRPr="00001C22">
        <w:rPr>
          <w:rFonts w:ascii="Calibri" w:hAnsi="Calibri"/>
        </w:rPr>
        <w:t>«</w:t>
      </w:r>
      <w:r w:rsidRPr="00001C22">
        <w:rPr>
          <w:rFonts w:ascii="Calibri" w:hAnsi="Calibri"/>
        </w:rPr>
        <w:t xml:space="preserve"> (</w:t>
      </w:r>
      <w:r w:rsidRPr="00001C22">
        <w:rPr>
          <w:rFonts w:ascii="Calibri" w:hAnsi="Calibri"/>
          <w:i/>
          <w:noProof/>
        </w:rPr>
        <w:t xml:space="preserve">sanctificatio et </w:t>
      </w:r>
      <w:r w:rsidRPr="00001C22">
        <w:rPr>
          <w:rStyle w:val="Hervorhebung"/>
          <w:rFonts w:ascii="Calibri" w:hAnsi="Calibri"/>
          <w:noProof/>
        </w:rPr>
        <w:t>renovatio interioris</w:t>
      </w:r>
      <w:r w:rsidRPr="00001C22">
        <w:rPr>
          <w:rFonts w:ascii="Calibri" w:hAnsi="Calibri"/>
          <w:i/>
          <w:noProof/>
        </w:rPr>
        <w:t xml:space="preserve"> hominis</w:t>
      </w:r>
      <w:r w:rsidRPr="00001C22">
        <w:rPr>
          <w:rFonts w:ascii="Calibri" w:hAnsi="Calibri"/>
          <w:noProof/>
        </w:rPr>
        <w:t>)</w:t>
      </w:r>
      <w:r w:rsidRPr="00001C22">
        <w:rPr>
          <w:rFonts w:ascii="Calibri" w:hAnsi="Calibri"/>
        </w:rPr>
        <w:t xml:space="preserve"> – so das Konzil von Trient. Genau das lehrt auch das NT: Die Gnade bewirkt im Mensch eine </w:t>
      </w:r>
      <w:r w:rsidR="000C22F8" w:rsidRPr="00001C22">
        <w:rPr>
          <w:rFonts w:ascii="Calibri" w:hAnsi="Calibri"/>
        </w:rPr>
        <w:t>»</w:t>
      </w:r>
      <w:r w:rsidRPr="00001C22">
        <w:rPr>
          <w:rFonts w:ascii="Calibri" w:hAnsi="Calibri"/>
        </w:rPr>
        <w:t>neue Schö</w:t>
      </w:r>
      <w:r w:rsidRPr="00001C22">
        <w:rPr>
          <w:rFonts w:ascii="Calibri" w:hAnsi="Calibri"/>
        </w:rPr>
        <w:t>p</w:t>
      </w:r>
      <w:r w:rsidRPr="00001C22">
        <w:rPr>
          <w:rFonts w:ascii="Calibri" w:hAnsi="Calibri"/>
        </w:rPr>
        <w:t>fung</w:t>
      </w:r>
      <w:r w:rsidR="000C22F8" w:rsidRPr="00001C22">
        <w:rPr>
          <w:rFonts w:ascii="Calibri" w:hAnsi="Calibri"/>
        </w:rPr>
        <w:t>«</w:t>
      </w:r>
      <w:r w:rsidRPr="00001C22">
        <w:rPr>
          <w:rFonts w:ascii="Calibri" w:hAnsi="Calibri"/>
        </w:rPr>
        <w:t xml:space="preserve"> (2Kor 5,17; Gal 6,15). Schöpfung wozu? </w:t>
      </w:r>
      <w:r w:rsidR="000C22F8" w:rsidRPr="00001C22">
        <w:rPr>
          <w:rFonts w:ascii="Calibri" w:hAnsi="Calibri"/>
        </w:rPr>
        <w:t>»</w:t>
      </w:r>
      <w:r w:rsidRPr="00001C22">
        <w:rPr>
          <w:rFonts w:ascii="Calibri" w:hAnsi="Calibri"/>
        </w:rPr>
        <w:t>Geschaffen in Jesus Christus zu guten We</w:t>
      </w:r>
      <w:r w:rsidRPr="00001C22">
        <w:rPr>
          <w:rFonts w:ascii="Calibri" w:hAnsi="Calibri"/>
        </w:rPr>
        <w:t>r</w:t>
      </w:r>
      <w:r w:rsidRPr="00001C22">
        <w:rPr>
          <w:rFonts w:ascii="Calibri" w:hAnsi="Calibri"/>
        </w:rPr>
        <w:t>ken</w:t>
      </w:r>
      <w:r w:rsidR="000C22F8" w:rsidRPr="00001C22">
        <w:rPr>
          <w:rFonts w:ascii="Calibri" w:hAnsi="Calibri"/>
        </w:rPr>
        <w:t>«</w:t>
      </w:r>
      <w:r w:rsidRPr="00001C22">
        <w:rPr>
          <w:rFonts w:ascii="Calibri" w:hAnsi="Calibri"/>
        </w:rPr>
        <w:t xml:space="preserve"> (Eph 2,10). </w:t>
      </w:r>
      <w:r w:rsidRPr="00001C22">
        <w:rPr>
          <w:rFonts w:ascii="Calibri" w:hAnsi="Calibri"/>
          <w:i/>
        </w:rPr>
        <w:t>Hier liegt der eigentliche Grund, warum wir die Heiligen verehren</w:t>
      </w:r>
      <w:r w:rsidRPr="00001C22">
        <w:rPr>
          <w:rFonts w:ascii="Calibri" w:hAnsi="Calibri"/>
        </w:rPr>
        <w:t>: Die Heil</w:t>
      </w:r>
      <w:r w:rsidRPr="00001C22">
        <w:rPr>
          <w:rFonts w:ascii="Calibri" w:hAnsi="Calibri"/>
        </w:rPr>
        <w:t>i</w:t>
      </w:r>
      <w:r w:rsidRPr="00001C22">
        <w:rPr>
          <w:rFonts w:ascii="Calibri" w:hAnsi="Calibri"/>
        </w:rPr>
        <w:t>gen sind Menschen, die durch Gottes Gnade innerlich verwandelt, die neu geschaffen wu</w:t>
      </w:r>
      <w:r w:rsidRPr="00001C22">
        <w:rPr>
          <w:rFonts w:ascii="Calibri" w:hAnsi="Calibri"/>
        </w:rPr>
        <w:t>r</w:t>
      </w:r>
      <w:r w:rsidRPr="00001C22">
        <w:rPr>
          <w:rFonts w:ascii="Calibri" w:hAnsi="Calibri"/>
        </w:rPr>
        <w:t>den, die reich an guten Werken waren, die verehrenswürdig gelebt haben; nicht aus e</w:t>
      </w:r>
      <w:r w:rsidRPr="00001C22">
        <w:rPr>
          <w:rFonts w:ascii="Calibri" w:hAnsi="Calibri"/>
        </w:rPr>
        <w:t>i</w:t>
      </w:r>
      <w:r w:rsidRPr="00001C22">
        <w:rPr>
          <w:rFonts w:ascii="Calibri" w:hAnsi="Calibri"/>
        </w:rPr>
        <w:t>gener Kraft, sondern aus der Kraft Gottes, durch das Geschenk der Gnade. Gott hat ihnen nicht nur die Sünden vergeben, so</w:t>
      </w:r>
      <w:r w:rsidRPr="00001C22">
        <w:rPr>
          <w:rFonts w:ascii="Calibri" w:hAnsi="Calibri"/>
        </w:rPr>
        <w:t>n</w:t>
      </w:r>
      <w:r w:rsidRPr="00001C22">
        <w:rPr>
          <w:rFonts w:ascii="Calibri" w:hAnsi="Calibri"/>
        </w:rPr>
        <w:t xml:space="preserve">dern aus ihnen wirklich gute Menschen gemacht. Eben </w:t>
      </w:r>
      <w:r w:rsidRPr="00001C22">
        <w:rPr>
          <w:rFonts w:ascii="Calibri" w:hAnsi="Calibri"/>
          <w:i/>
        </w:rPr>
        <w:t>Heilige</w:t>
      </w:r>
      <w:r w:rsidRPr="00001C22">
        <w:rPr>
          <w:rFonts w:ascii="Calibri" w:hAnsi="Calibri"/>
        </w:rPr>
        <w:t>.</w:t>
      </w:r>
    </w:p>
    <w:sectPr w:rsidR="0019468F" w:rsidRPr="00001C22">
      <w:headerReference w:type="default" r:id="rId16"/>
      <w:footerReference w:type="even" r:id="rId17"/>
      <w:footerReference w:type="default" r:id="rId1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D11" w:rsidRDefault="00405D11">
      <w:r>
        <w:separator/>
      </w:r>
    </w:p>
  </w:endnote>
  <w:endnote w:type="continuationSeparator" w:id="0">
    <w:p w:rsidR="00405D11" w:rsidRDefault="0040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F8" w:rsidRDefault="000C22F8" w:rsidP="005B6040">
    <w:pPr>
      <w:pStyle w:val="Fuzeile"/>
      <w:framePr w:wrap="around" w:vAnchor="text" w:hAnchor="margin" w:xAlign="center" w:y="1"/>
      <w:rPr>
        <w:rStyle w:val="Seitenzahl"/>
      </w:rPr>
      <w:pPrChange w:id="1" w:author="MChristoph" w:date="2014-05-03T15:54:00Z">
        <w:pPr>
          <w:pStyle w:val="Fuzeile"/>
          <w:framePr w:wrap="around" w:vAnchor="text" w:hAnchor="margin" w:xAlign="right" w:y="1"/>
        </w:pPr>
      </w:pPrChange>
    </w:pPr>
    <w:r>
      <w:rPr>
        <w:rStyle w:val="Seitenzahl"/>
      </w:rPr>
      <w:fldChar w:fldCharType="begin"/>
    </w:r>
    <w:r>
      <w:rPr>
        <w:rStyle w:val="Seitenzahl"/>
      </w:rPr>
      <w:instrText xml:space="preserve">PAGE  </w:instrText>
    </w:r>
    <w:r>
      <w:rPr>
        <w:rStyle w:val="Seitenzahl"/>
      </w:rPr>
      <w:fldChar w:fldCharType="end"/>
    </w:r>
  </w:p>
  <w:p w:rsidR="000C22F8" w:rsidRDefault="000C22F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F8" w:rsidRPr="00001C22" w:rsidRDefault="000C22F8" w:rsidP="00001C22">
    <w:pPr>
      <w:pStyle w:val="Fuzeile"/>
      <w:framePr w:wrap="around" w:vAnchor="text" w:hAnchor="margin" w:xAlign="center" w:y="1"/>
      <w:rPr>
        <w:rStyle w:val="Seitenzahl"/>
        <w:rFonts w:ascii="Calibri" w:hAnsi="Calibri"/>
      </w:rPr>
    </w:pPr>
    <w:r w:rsidRPr="00001C22">
      <w:rPr>
        <w:rStyle w:val="Seitenzahl"/>
        <w:rFonts w:ascii="Calibri" w:hAnsi="Calibri"/>
      </w:rPr>
      <w:fldChar w:fldCharType="begin"/>
    </w:r>
    <w:r w:rsidRPr="00001C22">
      <w:rPr>
        <w:rStyle w:val="Seitenzahl"/>
        <w:rFonts w:ascii="Calibri" w:hAnsi="Calibri"/>
      </w:rPr>
      <w:instrText xml:space="preserve">PAGE  </w:instrText>
    </w:r>
    <w:r w:rsidRPr="00001C22">
      <w:rPr>
        <w:rStyle w:val="Seitenzahl"/>
        <w:rFonts w:ascii="Calibri" w:hAnsi="Calibri"/>
      </w:rPr>
      <w:fldChar w:fldCharType="separate"/>
    </w:r>
    <w:r w:rsidR="0018680D">
      <w:rPr>
        <w:rStyle w:val="Seitenzahl"/>
        <w:rFonts w:ascii="Calibri" w:hAnsi="Calibri"/>
        <w:noProof/>
      </w:rPr>
      <w:t>4</w:t>
    </w:r>
    <w:r w:rsidRPr="00001C22">
      <w:rPr>
        <w:rStyle w:val="Seitenzahl"/>
        <w:rFonts w:ascii="Calibri" w:hAnsi="Calibri"/>
      </w:rPr>
      <w:fldChar w:fldCharType="end"/>
    </w:r>
  </w:p>
  <w:p w:rsidR="000C22F8" w:rsidRDefault="000C22F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D11" w:rsidRDefault="00405D11">
      <w:r>
        <w:separator/>
      </w:r>
    </w:p>
  </w:footnote>
  <w:footnote w:type="continuationSeparator" w:id="0">
    <w:p w:rsidR="00405D11" w:rsidRDefault="00405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40" w:rsidRPr="00001C22" w:rsidRDefault="005B6040" w:rsidP="00001C22">
    <w:pPr>
      <w:pStyle w:val="Kopfzeile"/>
      <w:pBdr>
        <w:bottom w:val="single" w:sz="4" w:space="1" w:color="auto"/>
      </w:pBdr>
      <w:jc w:val="center"/>
      <w:rPr>
        <w:rFonts w:ascii="Calibri" w:hAnsi="Calibri"/>
        <w:i/>
      </w:rPr>
    </w:pPr>
    <w:r w:rsidRPr="00001C22">
      <w:rPr>
        <w:rFonts w:ascii="Calibri" w:hAnsi="Calibri"/>
        <w:i/>
      </w:rPr>
      <w:t>KIK ‒ Ihr Katholiken betet ja die Heiligen 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14AA7FD0"/>
    <w:multiLevelType w:val="hybridMultilevel"/>
    <w:tmpl w:val="6408EA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81503E3"/>
    <w:multiLevelType w:val="hybridMultilevel"/>
    <w:tmpl w:val="BC48A7E6"/>
    <w:lvl w:ilvl="0">
      <w:start w:val="17"/>
      <w:numFmt w:val="bullet"/>
      <w:lvlText w:val=""/>
      <w:lvlJc w:val="left"/>
      <w:pPr>
        <w:tabs>
          <w:tab w:val="num" w:pos="720"/>
        </w:tabs>
        <w:ind w:left="720" w:hanging="360"/>
      </w:pPr>
      <w:rPr>
        <w:rFonts w:ascii="Symbol" w:eastAsia="SimSun" w:hAnsi="Symbol"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3">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4">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5">
    <w:nsid w:val="5BF056EA"/>
    <w:multiLevelType w:val="hybridMultilevel"/>
    <w:tmpl w:val="0C824276"/>
    <w:lvl w:ilvl="0">
      <w:start w:val="17"/>
      <w:numFmt w:val="bullet"/>
      <w:lvlText w:val=""/>
      <w:lvlJc w:val="left"/>
      <w:pPr>
        <w:tabs>
          <w:tab w:val="num" w:pos="720"/>
        </w:tabs>
        <w:ind w:left="720" w:hanging="360"/>
      </w:pPr>
      <w:rPr>
        <w:rFonts w:ascii="Symbol" w:eastAsia="SimSun" w:hAnsi="Symbol"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C905996"/>
    <w:multiLevelType w:val="hybridMultilevel"/>
    <w:tmpl w:val="3E0842E6"/>
    <w:lvl w:ilvl="0">
      <w:start w:val="17"/>
      <w:numFmt w:val="bullet"/>
      <w:lvlText w:val=""/>
      <w:lvlJc w:val="left"/>
      <w:pPr>
        <w:tabs>
          <w:tab w:val="num" w:pos="720"/>
        </w:tabs>
        <w:ind w:left="720" w:hanging="360"/>
      </w:pPr>
      <w:rPr>
        <w:rFonts w:ascii="Symbol" w:eastAsia="SimSun" w:hAnsi="Symbol"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4"/>
  </w:num>
  <w:num w:numId="3">
    <w:abstractNumId w:val="13"/>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it-IT" w:vendorID="64" w:dllVersion="131078" w:nlCheck="1" w:checkStyle="0"/>
  <w:activeWritingStyle w:appName="MSWord" w:lang="de-DE"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CA"/>
    <w:rsid w:val="00001C22"/>
    <w:rsid w:val="000C22F8"/>
    <w:rsid w:val="0015623B"/>
    <w:rsid w:val="0018680D"/>
    <w:rsid w:val="0019468F"/>
    <w:rsid w:val="00405D11"/>
    <w:rsid w:val="005B6040"/>
    <w:rsid w:val="00884129"/>
    <w:rsid w:val="00A532A5"/>
    <w:rsid w:val="00D1284C"/>
    <w:rsid w:val="00DE69CA"/>
    <w:rsid w:val="00ED3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4EDBE-4F8E-4305-A7EA-3B3DE686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zh-CN"/>
    </w:rPr>
  </w:style>
  <w:style w:type="paragraph" w:styleId="berschrift1">
    <w:name w:val="heading 1"/>
    <w:basedOn w:val="Standard"/>
    <w:next w:val="Standard"/>
    <w:qFormat/>
    <w:pPr>
      <w:keepNext/>
      <w:outlineLvl w:val="0"/>
    </w:pPr>
    <w:rPr>
      <w:b/>
      <w:bCs/>
      <w:kern w:val="32"/>
      <w:sz w:val="28"/>
      <w:szCs w:val="28"/>
    </w:rPr>
  </w:style>
  <w:style w:type="paragraph" w:styleId="berschrift2">
    <w:name w:val="heading 2"/>
    <w:basedOn w:val="Standard"/>
    <w:next w:val="Standard"/>
    <w:qFormat/>
    <w:pPr>
      <w:keepNext/>
      <w:ind w:left="397"/>
      <w:outlineLvl w:val="1"/>
    </w:pPr>
    <w:rPr>
      <w:b/>
      <w:bCs/>
      <w:sz w:val="26"/>
      <w:szCs w:val="26"/>
    </w:rPr>
  </w:style>
  <w:style w:type="paragraph" w:styleId="berschrift3">
    <w:name w:val="heading 3"/>
    <w:basedOn w:val="Standard"/>
    <w:next w:val="Standard"/>
    <w:qFormat/>
    <w:pPr>
      <w:keepNext/>
      <w:ind w:left="851"/>
      <w:outlineLvl w:val="2"/>
    </w:pPr>
    <w:rPr>
      <w:b/>
      <w:bCs/>
      <w:sz w:val="26"/>
      <w:szCs w:val="26"/>
    </w:rPr>
  </w:style>
  <w:style w:type="paragraph" w:styleId="berschrift4">
    <w:name w:val="heading 4"/>
    <w:basedOn w:val="Standard"/>
    <w:next w:val="Standard"/>
    <w:qFormat/>
    <w:pPr>
      <w:keepNext/>
      <w:ind w:left="1247"/>
      <w:outlineLvl w:val="3"/>
    </w:pPr>
    <w:rPr>
      <w:b/>
      <w:bCs/>
      <w:sz w:val="25"/>
      <w:szCs w:val="25"/>
    </w:rPr>
  </w:style>
  <w:style w:type="paragraph" w:styleId="berschrift5">
    <w:name w:val="heading 5"/>
    <w:basedOn w:val="Standard"/>
    <w:next w:val="Standard"/>
    <w:qFormat/>
    <w:pPr>
      <w:ind w:left="1701"/>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bCs/>
    </w:rPr>
  </w:style>
  <w:style w:type="paragraph" w:styleId="Dokumentstruktur">
    <w:name w:val="Document Map"/>
    <w:basedOn w:val="Standard"/>
    <w:semiHidden/>
    <w:pPr>
      <w:shd w:val="clear" w:color="auto" w:fill="000080"/>
    </w:pPr>
    <w:rPr>
      <w:rFonts w:ascii="Arial" w:hAnsi="Arial" w:cs="Arial"/>
      <w:sz w:val="20"/>
      <w:szCs w:val="20"/>
    </w:rPr>
  </w:style>
  <w:style w:type="character" w:styleId="Hyperlink">
    <w:name w:val="Hyperlink"/>
    <w:rPr>
      <w:color w:val="0000FF"/>
      <w:u w:val="single"/>
    </w:rPr>
  </w:style>
  <w:style w:type="character" w:styleId="Fett">
    <w:name w:val="Strong"/>
    <w:qFormat/>
    <w:rPr>
      <w:b/>
      <w:bCs/>
    </w:rPr>
  </w:style>
  <w:style w:type="character" w:styleId="Hervorhebung">
    <w:name w:val="Emphasis"/>
    <w:qFormat/>
    <w:rPr>
      <w:i/>
      <w:iCs/>
    </w:rPr>
  </w:style>
  <w:style w:type="paragraph" w:customStyle="1" w:styleId="Block">
    <w:name w:val="Block"/>
    <w:basedOn w:val="Standard"/>
    <w:pPr>
      <w:spacing w:before="360" w:after="360"/>
      <w:ind w:left="737"/>
    </w:pPr>
    <w:rPr>
      <w:sz w:val="22"/>
      <w:szCs w:val="22"/>
    </w:rPr>
  </w:style>
  <w:style w:type="paragraph" w:styleId="StandardWeb">
    <w:name w:val="Normal (Web)"/>
    <w:basedOn w:val="Standard"/>
    <w:pPr>
      <w:spacing w:before="100" w:beforeAutospacing="1" w:after="100" w:afterAutospacing="1"/>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DE69CA"/>
    <w:rPr>
      <w:rFonts w:ascii="Tahoma" w:hAnsi="Tahoma" w:cs="Tahoma"/>
      <w:sz w:val="16"/>
      <w:szCs w:val="16"/>
    </w:rPr>
  </w:style>
  <w:style w:type="paragraph" w:styleId="Kopfzeile">
    <w:name w:val="header"/>
    <w:basedOn w:val="Standard"/>
    <w:rsid w:val="005B604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lt.bibelwerk.de/bibel/at/mak2015.htm" TargetMode="External"/><Relationship Id="rId13" Type="http://schemas.openxmlformats.org/officeDocument/2006/relationships/hyperlink" Target="http://alt.bibelwerk.de/bibel/at/sira048.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lt.bibelwerk.de/bibel/at/sach00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t.bibelwerk.de/bibel/at/ijob033.htm" TargetMode="External"/><Relationship Id="rId5" Type="http://schemas.openxmlformats.org/officeDocument/2006/relationships/footnotes" Target="footnotes.xml"/><Relationship Id="rId15" Type="http://schemas.openxmlformats.org/officeDocument/2006/relationships/hyperlink" Target="http://www.vatican.va/roman_curia/pontifical_commissions/archeo/images/graffiti_big.jpg" TargetMode="External"/><Relationship Id="rId10" Type="http://schemas.openxmlformats.org/officeDocument/2006/relationships/hyperlink" Target="http://alt.bibelwerk.de/bibel/at/tobi012.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t.bibelwerk.de/bibel/at/mak2015.htm" TargetMode="External"/><Relationship Id="rId14"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1638</Words>
  <Characters>10322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a) Das Missverständnis</vt:lpstr>
    </vt:vector>
  </TitlesOfParts>
  <Company/>
  <LinksUpToDate>false</LinksUpToDate>
  <CharactersWithSpaces>11937</CharactersWithSpaces>
  <SharedDoc>false</SharedDoc>
  <HLinks>
    <vt:vector size="42" baseType="variant">
      <vt:variant>
        <vt:i4>2621506</vt:i4>
      </vt:variant>
      <vt:variant>
        <vt:i4>18</vt:i4>
      </vt:variant>
      <vt:variant>
        <vt:i4>0</vt:i4>
      </vt:variant>
      <vt:variant>
        <vt:i4>5</vt:i4>
      </vt:variant>
      <vt:variant>
        <vt:lpwstr>http://www.vatican.va/roman_curia/pontifical_commissions/archeo/images/graffiti_big.jpg</vt:lpwstr>
      </vt:variant>
      <vt:variant>
        <vt:lpwstr/>
      </vt:variant>
      <vt:variant>
        <vt:i4>8323116</vt:i4>
      </vt:variant>
      <vt:variant>
        <vt:i4>15</vt:i4>
      </vt:variant>
      <vt:variant>
        <vt:i4>0</vt:i4>
      </vt:variant>
      <vt:variant>
        <vt:i4>5</vt:i4>
      </vt:variant>
      <vt:variant>
        <vt:lpwstr>http://alt.bibelwerk.de/bibel/at/sira048.htm</vt:lpwstr>
      </vt:variant>
      <vt:variant>
        <vt:lpwstr>a3</vt:lpwstr>
      </vt:variant>
      <vt:variant>
        <vt:i4>6619177</vt:i4>
      </vt:variant>
      <vt:variant>
        <vt:i4>12</vt:i4>
      </vt:variant>
      <vt:variant>
        <vt:i4>0</vt:i4>
      </vt:variant>
      <vt:variant>
        <vt:i4>5</vt:i4>
      </vt:variant>
      <vt:variant>
        <vt:lpwstr>http://alt.bibelwerk.de/bibel/at/sach001.htm</vt:lpwstr>
      </vt:variant>
      <vt:variant>
        <vt:lpwstr>a11</vt:lpwstr>
      </vt:variant>
      <vt:variant>
        <vt:i4>7471147</vt:i4>
      </vt:variant>
      <vt:variant>
        <vt:i4>9</vt:i4>
      </vt:variant>
      <vt:variant>
        <vt:i4>0</vt:i4>
      </vt:variant>
      <vt:variant>
        <vt:i4>5</vt:i4>
      </vt:variant>
      <vt:variant>
        <vt:lpwstr>http://alt.bibelwerk.de/bibel/at/ijob033.htm</vt:lpwstr>
      </vt:variant>
      <vt:variant>
        <vt:lpwstr>a22</vt:lpwstr>
      </vt:variant>
      <vt:variant>
        <vt:i4>6291495</vt:i4>
      </vt:variant>
      <vt:variant>
        <vt:i4>6</vt:i4>
      </vt:variant>
      <vt:variant>
        <vt:i4>0</vt:i4>
      </vt:variant>
      <vt:variant>
        <vt:i4>5</vt:i4>
      </vt:variant>
      <vt:variant>
        <vt:lpwstr>http://alt.bibelwerk.de/bibel/at/tobi012.htm</vt:lpwstr>
      </vt:variant>
      <vt:variant>
        <vt:lpwstr>a11</vt:lpwstr>
      </vt:variant>
      <vt:variant>
        <vt:i4>7798898</vt:i4>
      </vt:variant>
      <vt:variant>
        <vt:i4>3</vt:i4>
      </vt:variant>
      <vt:variant>
        <vt:i4>0</vt:i4>
      </vt:variant>
      <vt:variant>
        <vt:i4>5</vt:i4>
      </vt:variant>
      <vt:variant>
        <vt:lpwstr>http://alt.bibelwerk.de/bibel/at/mak2015.htm</vt:lpwstr>
      </vt:variant>
      <vt:variant>
        <vt:lpwstr>a13</vt:lpwstr>
      </vt:variant>
      <vt:variant>
        <vt:i4>7798898</vt:i4>
      </vt:variant>
      <vt:variant>
        <vt:i4>0</vt:i4>
      </vt:variant>
      <vt:variant>
        <vt:i4>0</vt:i4>
      </vt:variant>
      <vt:variant>
        <vt:i4>5</vt:i4>
      </vt:variant>
      <vt:variant>
        <vt:lpwstr>http://alt.bibelwerk.de/bibel/at/mak2015.htm</vt:lpwstr>
      </vt:variant>
      <vt:variant>
        <vt:lpwstr>a11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Das Missverständnis</dc:title>
  <dc:subject/>
  <dc:creator>Markus Christoph</dc:creator>
  <cp:keywords/>
  <cp:lastModifiedBy>Windows User</cp:lastModifiedBy>
  <cp:revision>3</cp:revision>
  <cp:lastPrinted>2010-03-22T20:14:00Z</cp:lastPrinted>
  <dcterms:created xsi:type="dcterms:W3CDTF">2018-08-29T15:36:00Z</dcterms:created>
  <dcterms:modified xsi:type="dcterms:W3CDTF">2018-08-29T15:37:00Z</dcterms:modified>
</cp:coreProperties>
</file>